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9C7" w:rsidRDefault="00C749C7" w:rsidP="0066586C">
      <w:pPr>
        <w:rPr>
          <w:rFonts w:ascii="標楷體" w:eastAsia="標楷體" w:hAnsi="標楷體"/>
          <w:sz w:val="52"/>
        </w:rPr>
      </w:pPr>
    </w:p>
    <w:p w:rsidR="003E1142" w:rsidRPr="003E1142" w:rsidRDefault="003E1142" w:rsidP="003E1142">
      <w:pPr>
        <w:pStyle w:val="af"/>
        <w:jc w:val="right"/>
        <w:rPr>
          <w:rFonts w:ascii="標楷體" w:eastAsia="標楷體" w:hAnsi="標楷體"/>
          <w:color w:val="4472C4" w:themeColor="accent1"/>
          <w:sz w:val="48"/>
          <w:szCs w:val="28"/>
        </w:rPr>
      </w:pPr>
    </w:p>
    <w:p w:rsidR="003E1142" w:rsidRPr="003E1142" w:rsidRDefault="003E1142" w:rsidP="003E1142">
      <w:pPr>
        <w:pStyle w:val="af"/>
        <w:rPr>
          <w:rFonts w:ascii="標楷體" w:eastAsia="標楷體" w:hAnsi="標楷體"/>
          <w:sz w:val="36"/>
        </w:rPr>
      </w:pPr>
      <w:r w:rsidRPr="003E1142">
        <w:rPr>
          <w:rFonts w:ascii="標楷體" w:eastAsia="標楷體" w:hAnsi="標楷體"/>
          <w:sz w:val="36"/>
        </w:rPr>
        <w:t>專題統計分析</w:t>
      </w:r>
    </w:p>
    <w:p w:rsidR="00C749C7" w:rsidRPr="003E1142" w:rsidRDefault="00C749C7" w:rsidP="0066586C">
      <w:pPr>
        <w:rPr>
          <w:rFonts w:ascii="標楷體" w:eastAsia="標楷體" w:hAnsi="標楷體"/>
          <w:sz w:val="52"/>
        </w:rPr>
      </w:pPr>
    </w:p>
    <w:p w:rsidR="0066586C" w:rsidRPr="00325092" w:rsidRDefault="0066586C" w:rsidP="008744D5">
      <w:pPr>
        <w:jc w:val="center"/>
        <w:rPr>
          <w:rFonts w:ascii="標楷體" w:eastAsia="標楷體" w:hAnsi="標楷體"/>
          <w:b/>
          <w:color w:val="000000" w:themeColor="text1"/>
          <w:sz w:val="52"/>
        </w:rPr>
      </w:pPr>
      <w:r w:rsidRPr="00325092">
        <w:rPr>
          <w:rFonts w:ascii="標楷體" w:eastAsia="標楷體" w:hAnsi="標楷體" w:hint="eastAsia"/>
          <w:b/>
          <w:color w:val="000000" w:themeColor="text1"/>
          <w:sz w:val="52"/>
        </w:rPr>
        <w:t>澎湖縣長者營養問卷認知調查分析</w:t>
      </w: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325092" w:rsidP="0066586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23914</wp:posOffset>
            </wp:positionH>
            <wp:positionV relativeFrom="paragraph">
              <wp:posOffset>72376</wp:posOffset>
            </wp:positionV>
            <wp:extent cx="5270257" cy="3511686"/>
            <wp:effectExtent l="19050" t="0" r="6593" b="0"/>
            <wp:wrapNone/>
            <wp:docPr id="2" name="圖片 1" descr="Vitamins in food_ Healthy food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tamins in food_ Healthy foods.jf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257" cy="3511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D06388" w:rsidRDefault="00D06388" w:rsidP="0066586C">
      <w:pPr>
        <w:rPr>
          <w:rFonts w:ascii="標楷體" w:eastAsia="標楷體" w:hAnsi="標楷體"/>
        </w:rPr>
      </w:pPr>
    </w:p>
    <w:p w:rsidR="008756CE" w:rsidRDefault="00FB6880" w:rsidP="003E1142">
      <w:pPr>
        <w:widowControl/>
        <w:jc w:val="center"/>
        <w:rPr>
          <w:rFonts w:ascii="標楷體" w:eastAsia="標楷體" w:hAnsi="標楷體"/>
          <w:b/>
          <w:sz w:val="36"/>
        </w:rPr>
      </w:pPr>
      <w:r w:rsidRPr="00C3483F">
        <w:rPr>
          <w:rFonts w:ascii="標楷體" w:eastAsia="標楷體" w:hAnsi="標楷體"/>
          <w:b/>
          <w:sz w:val="36"/>
        </w:rPr>
        <w:lastRenderedPageBreak/>
        <w:t>目</w:t>
      </w:r>
      <w:r w:rsidRPr="00C3483F">
        <w:rPr>
          <w:rFonts w:ascii="標楷體" w:eastAsia="標楷體" w:hAnsi="標楷體" w:hint="eastAsia"/>
          <w:b/>
          <w:sz w:val="36"/>
        </w:rPr>
        <w:t>錄</w:t>
      </w:r>
    </w:p>
    <w:p w:rsidR="008756CE" w:rsidRPr="008D7F06" w:rsidRDefault="00E04585" w:rsidP="008D7F06">
      <w:pPr>
        <w:pStyle w:val="11"/>
        <w:rPr>
          <w:b w:val="0"/>
        </w:rPr>
      </w:pPr>
      <w:r w:rsidRPr="00E04585">
        <w:rPr>
          <w:rFonts w:cs="新細明體"/>
          <w:b w:val="0"/>
          <w:kern w:val="0"/>
        </w:rPr>
        <w:fldChar w:fldCharType="begin"/>
      </w:r>
      <w:r w:rsidR="008756CE" w:rsidRPr="008D7F06">
        <w:rPr>
          <w:rFonts w:cs="新細明體"/>
          <w:b w:val="0"/>
          <w:kern w:val="0"/>
        </w:rPr>
        <w:instrText xml:space="preserve"> TOC \o "1-2" \h \z \u </w:instrText>
      </w:r>
      <w:r w:rsidRPr="00E04585">
        <w:rPr>
          <w:rFonts w:cs="新細明體"/>
          <w:b w:val="0"/>
          <w:kern w:val="0"/>
        </w:rPr>
        <w:fldChar w:fldCharType="separate"/>
      </w:r>
      <w:hyperlink w:anchor="_Toc198202163" w:history="1">
        <w:r w:rsidR="008756CE" w:rsidRPr="008D7F06">
          <w:rPr>
            <w:rStyle w:val="af7"/>
            <w:rFonts w:hint="eastAsia"/>
            <w:b w:val="0"/>
          </w:rPr>
          <w:t>壹、前言</w:t>
        </w:r>
        <w:r w:rsidR="008756CE" w:rsidRPr="008D7F06">
          <w:rPr>
            <w:b w:val="0"/>
            <w:webHidden/>
          </w:rPr>
          <w:tab/>
        </w:r>
        <w:r w:rsidRPr="008D7F06">
          <w:rPr>
            <w:b w:val="0"/>
            <w:webHidden/>
          </w:rPr>
          <w:fldChar w:fldCharType="begin"/>
        </w:r>
        <w:r w:rsidR="008756CE" w:rsidRPr="008D7F06">
          <w:rPr>
            <w:b w:val="0"/>
            <w:webHidden/>
          </w:rPr>
          <w:instrText xml:space="preserve"> PAGEREF _Toc198202163 \h </w:instrText>
        </w:r>
        <w:r w:rsidRPr="008D7F06">
          <w:rPr>
            <w:b w:val="0"/>
            <w:webHidden/>
          </w:rPr>
        </w:r>
        <w:r w:rsidRPr="008D7F06">
          <w:rPr>
            <w:b w:val="0"/>
            <w:webHidden/>
          </w:rPr>
          <w:fldChar w:fldCharType="separate"/>
        </w:r>
        <w:r w:rsidR="00757967" w:rsidRPr="008D7F06">
          <w:rPr>
            <w:b w:val="0"/>
            <w:webHidden/>
          </w:rPr>
          <w:t>3</w:t>
        </w:r>
        <w:r w:rsidRPr="008D7F06">
          <w:rPr>
            <w:b w:val="0"/>
            <w:webHidden/>
          </w:rPr>
          <w:fldChar w:fldCharType="end"/>
        </w:r>
      </w:hyperlink>
    </w:p>
    <w:p w:rsidR="008756CE" w:rsidRPr="008D7F06" w:rsidRDefault="00E04585" w:rsidP="008D7F06">
      <w:pPr>
        <w:pStyle w:val="11"/>
        <w:rPr>
          <w:b w:val="0"/>
        </w:rPr>
      </w:pPr>
      <w:hyperlink w:anchor="_Toc198202164" w:history="1">
        <w:r w:rsidR="008756CE" w:rsidRPr="008D7F06">
          <w:rPr>
            <w:rStyle w:val="af7"/>
            <w:rFonts w:hint="eastAsia"/>
            <w:b w:val="0"/>
          </w:rPr>
          <w:t>貳、澎湖縣人口老化與問題背景分析</w:t>
        </w:r>
        <w:r w:rsidR="008756CE" w:rsidRPr="008D7F06">
          <w:rPr>
            <w:b w:val="0"/>
            <w:webHidden/>
          </w:rPr>
          <w:tab/>
        </w:r>
        <w:r w:rsidRPr="008D7F06">
          <w:rPr>
            <w:b w:val="0"/>
            <w:webHidden/>
          </w:rPr>
          <w:fldChar w:fldCharType="begin"/>
        </w:r>
        <w:r w:rsidR="008756CE" w:rsidRPr="008D7F06">
          <w:rPr>
            <w:b w:val="0"/>
            <w:webHidden/>
          </w:rPr>
          <w:instrText xml:space="preserve"> PAGEREF _Toc198202164 \h </w:instrText>
        </w:r>
        <w:r w:rsidRPr="008D7F06">
          <w:rPr>
            <w:b w:val="0"/>
            <w:webHidden/>
          </w:rPr>
        </w:r>
        <w:r w:rsidRPr="008D7F06">
          <w:rPr>
            <w:b w:val="0"/>
            <w:webHidden/>
          </w:rPr>
          <w:fldChar w:fldCharType="separate"/>
        </w:r>
        <w:r w:rsidR="00757967" w:rsidRPr="008D7F06">
          <w:rPr>
            <w:b w:val="0"/>
            <w:webHidden/>
          </w:rPr>
          <w:t>3</w:t>
        </w:r>
        <w:r w:rsidRPr="008D7F06">
          <w:rPr>
            <w:b w:val="0"/>
            <w:webHidden/>
          </w:rPr>
          <w:fldChar w:fldCharType="end"/>
        </w:r>
      </w:hyperlink>
    </w:p>
    <w:p w:rsidR="008756CE" w:rsidRPr="008D7F06" w:rsidRDefault="00E04585" w:rsidP="008D7F06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65" w:history="1">
        <w:r w:rsidR="008756CE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(一)人口老化概況：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begin"/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instrText xml:space="preserve"> PAGEREF _Toc198202165 \h </w:instrTex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separate"/>
        </w:r>
        <w:r w:rsidR="00757967" w:rsidRPr="008D7F06">
          <w:rPr>
            <w:rFonts w:ascii="標楷體" w:eastAsia="標楷體" w:hAnsi="標楷體"/>
            <w:noProof/>
            <w:webHidden/>
            <w:sz w:val="28"/>
            <w:szCs w:val="28"/>
          </w:rPr>
          <w:t>3</w: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end"/>
        </w:r>
      </w:hyperlink>
    </w:p>
    <w:p w:rsidR="008756CE" w:rsidRPr="008D7F06" w:rsidRDefault="00E04585" w:rsidP="008756CE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66" w:history="1">
        <w:r w:rsidR="008756CE" w:rsidRPr="008D7F06">
          <w:rPr>
            <w:rStyle w:val="af7"/>
            <w:rFonts w:ascii="標楷體" w:eastAsia="標楷體" w:hAnsi="標楷體"/>
            <w:noProof/>
            <w:sz w:val="28"/>
            <w:szCs w:val="28"/>
          </w:rPr>
          <w:t>(</w:t>
        </w:r>
        <w:r w:rsidR="008756CE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二</w:t>
        </w:r>
        <w:r w:rsidR="008756CE" w:rsidRPr="008D7F06">
          <w:rPr>
            <w:rStyle w:val="af7"/>
            <w:rFonts w:ascii="標楷體" w:eastAsia="標楷體" w:hAnsi="標楷體"/>
            <w:noProof/>
            <w:sz w:val="28"/>
            <w:szCs w:val="28"/>
          </w:rPr>
          <w:t>)</w:t>
        </w:r>
        <w:r w:rsidR="008756CE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高齡長者常見的問題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begin"/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instrText xml:space="preserve"> PAGEREF _Toc198202166 \h </w:instrTex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separate"/>
        </w:r>
        <w:r w:rsidR="00757967" w:rsidRPr="008D7F06">
          <w:rPr>
            <w:rFonts w:ascii="標楷體" w:eastAsia="標楷體" w:hAnsi="標楷體"/>
            <w:noProof/>
            <w:webHidden/>
            <w:sz w:val="28"/>
            <w:szCs w:val="28"/>
          </w:rPr>
          <w:t>4</w: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end"/>
        </w:r>
      </w:hyperlink>
    </w:p>
    <w:p w:rsidR="008756CE" w:rsidRPr="008D7F06" w:rsidRDefault="00E04585" w:rsidP="008D7F06">
      <w:pPr>
        <w:pStyle w:val="11"/>
        <w:rPr>
          <w:b w:val="0"/>
        </w:rPr>
      </w:pPr>
      <w:hyperlink w:anchor="_Toc198202167" w:history="1">
        <w:r w:rsidR="008756CE" w:rsidRPr="008D7F06">
          <w:rPr>
            <w:rStyle w:val="af7"/>
            <w:rFonts w:hint="eastAsia"/>
            <w:b w:val="0"/>
          </w:rPr>
          <w:t>參、澎湖縣</w:t>
        </w:r>
        <w:r w:rsidR="008D7F06">
          <w:rPr>
            <w:rStyle w:val="af7"/>
            <w:rFonts w:hint="eastAsia"/>
            <w:b w:val="0"/>
          </w:rPr>
          <w:t>112年</w:t>
        </w:r>
        <w:r w:rsidR="008756CE" w:rsidRPr="008D7F06">
          <w:rPr>
            <w:rStyle w:val="af7"/>
            <w:rFonts w:hint="eastAsia"/>
            <w:b w:val="0"/>
          </w:rPr>
          <w:t>長者健康飲食認知分析</w:t>
        </w:r>
        <w:r w:rsidR="008756CE" w:rsidRPr="008D7F06">
          <w:rPr>
            <w:b w:val="0"/>
            <w:webHidden/>
          </w:rPr>
          <w:tab/>
        </w:r>
        <w:r w:rsidRPr="008D7F06">
          <w:rPr>
            <w:b w:val="0"/>
            <w:webHidden/>
          </w:rPr>
          <w:fldChar w:fldCharType="begin"/>
        </w:r>
        <w:r w:rsidR="008756CE" w:rsidRPr="008D7F06">
          <w:rPr>
            <w:b w:val="0"/>
            <w:webHidden/>
          </w:rPr>
          <w:instrText xml:space="preserve"> PAGEREF _Toc198202167 \h </w:instrText>
        </w:r>
        <w:r w:rsidRPr="008D7F06">
          <w:rPr>
            <w:b w:val="0"/>
            <w:webHidden/>
          </w:rPr>
        </w:r>
        <w:r w:rsidRPr="008D7F06">
          <w:rPr>
            <w:b w:val="0"/>
            <w:webHidden/>
          </w:rPr>
          <w:fldChar w:fldCharType="separate"/>
        </w:r>
        <w:r w:rsidR="00757967" w:rsidRPr="008D7F06">
          <w:rPr>
            <w:b w:val="0"/>
            <w:webHidden/>
          </w:rPr>
          <w:t>5</w:t>
        </w:r>
        <w:r w:rsidRPr="008D7F06">
          <w:rPr>
            <w:b w:val="0"/>
            <w:webHidden/>
          </w:rPr>
          <w:fldChar w:fldCharType="end"/>
        </w:r>
      </w:hyperlink>
    </w:p>
    <w:p w:rsidR="008756CE" w:rsidRPr="008D7F06" w:rsidRDefault="00E04585" w:rsidP="008756CE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68" w:history="1"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(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一</w:t>
        </w:r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)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營養認知問卷調查分析：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begin"/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instrText xml:space="preserve"> PAGEREF _Toc198202168 \h </w:instrTex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separate"/>
        </w:r>
        <w:r w:rsidR="00757967" w:rsidRPr="008D7F06">
          <w:rPr>
            <w:rFonts w:ascii="標楷體" w:eastAsia="標楷體" w:hAnsi="標楷體"/>
            <w:noProof/>
            <w:webHidden/>
            <w:sz w:val="28"/>
            <w:szCs w:val="28"/>
          </w:rPr>
          <w:t>5</w: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end"/>
        </w:r>
      </w:hyperlink>
    </w:p>
    <w:p w:rsidR="008756CE" w:rsidRPr="008D7F06" w:rsidRDefault="00E04585" w:rsidP="008756CE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69" w:history="1"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(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二</w:t>
        </w:r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)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長者營養整體答對率概況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="008D7F06">
          <w:rPr>
            <w:rFonts w:ascii="標楷體" w:eastAsia="標楷體" w:hAnsi="標楷體"/>
            <w:noProof/>
            <w:webHidden/>
            <w:sz w:val="28"/>
            <w:szCs w:val="28"/>
          </w:rPr>
          <w:t>5</w:t>
        </w:r>
      </w:hyperlink>
    </w:p>
    <w:p w:rsidR="008756CE" w:rsidRPr="008D7F06" w:rsidRDefault="00E04585" w:rsidP="008756CE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70" w:history="1"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(</w:t>
        </w:r>
        <w:r w:rsid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三</w:t>
        </w:r>
        <w:r w:rsidR="00DE2D14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)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答對率較低題目分析與建議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begin"/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instrText xml:space="preserve"> PAGEREF _Toc198202170 \h </w:instrTex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separate"/>
        </w:r>
        <w:r w:rsidR="00757967" w:rsidRPr="008D7F06">
          <w:rPr>
            <w:rFonts w:ascii="標楷體" w:eastAsia="標楷體" w:hAnsi="標楷體"/>
            <w:noProof/>
            <w:webHidden/>
            <w:sz w:val="28"/>
            <w:szCs w:val="28"/>
          </w:rPr>
          <w:t>8</w: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end"/>
        </w:r>
      </w:hyperlink>
    </w:p>
    <w:p w:rsidR="008756CE" w:rsidRPr="008D7F06" w:rsidRDefault="00E04585" w:rsidP="008756CE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71" w:history="1"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(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四</w:t>
        </w:r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)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整體營養認知問卷設計的問題分析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begin"/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instrText xml:space="preserve"> PAGEREF _Toc198202171 \h </w:instrTex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separate"/>
        </w:r>
        <w:r w:rsidR="00757967" w:rsidRPr="008D7F06">
          <w:rPr>
            <w:rFonts w:ascii="標楷體" w:eastAsia="標楷體" w:hAnsi="標楷體"/>
            <w:noProof/>
            <w:webHidden/>
            <w:sz w:val="28"/>
            <w:szCs w:val="28"/>
          </w:rPr>
          <w:t>9</w: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end"/>
        </w:r>
      </w:hyperlink>
    </w:p>
    <w:p w:rsidR="008756CE" w:rsidRPr="008D7F06" w:rsidRDefault="00E04585" w:rsidP="008756CE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72" w:history="1"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(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五</w:t>
        </w:r>
        <w:r w:rsidR="008756CE" w:rsidRPr="008D7F06">
          <w:rPr>
            <w:rStyle w:val="af7"/>
            <w:rFonts w:ascii="標楷體" w:eastAsia="標楷體" w:hAnsi="標楷體"/>
            <w:bCs/>
            <w:noProof/>
            <w:sz w:val="28"/>
            <w:szCs w:val="28"/>
          </w:rPr>
          <w:t>)</w:t>
        </w:r>
        <w:r w:rsidR="008756CE" w:rsidRPr="008D7F06">
          <w:rPr>
            <w:rStyle w:val="af7"/>
            <w:rFonts w:ascii="標楷體" w:eastAsia="標楷體" w:hAnsi="標楷體" w:hint="eastAsia"/>
            <w:bCs/>
            <w:noProof/>
            <w:sz w:val="28"/>
            <w:szCs w:val="28"/>
          </w:rPr>
          <w:t>針對社區長者營養問題調查與政策推動情形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begin"/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instrText xml:space="preserve"> PAGEREF _Toc198202172 \h </w:instrTex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separate"/>
        </w:r>
        <w:r w:rsidR="00757967" w:rsidRPr="008D7F06">
          <w:rPr>
            <w:rFonts w:ascii="標楷體" w:eastAsia="標楷體" w:hAnsi="標楷體"/>
            <w:noProof/>
            <w:webHidden/>
            <w:sz w:val="28"/>
            <w:szCs w:val="28"/>
          </w:rPr>
          <w:t>9</w: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end"/>
        </w:r>
      </w:hyperlink>
    </w:p>
    <w:p w:rsidR="008756CE" w:rsidRPr="008D7F06" w:rsidRDefault="00E04585" w:rsidP="008D7F06">
      <w:pPr>
        <w:pStyle w:val="11"/>
        <w:rPr>
          <w:b w:val="0"/>
        </w:rPr>
      </w:pPr>
      <w:hyperlink w:anchor="_Toc198202173" w:history="1">
        <w:r w:rsidR="008756CE" w:rsidRPr="008D7F06">
          <w:rPr>
            <w:rStyle w:val="af7"/>
            <w:rFonts w:hint="eastAsia"/>
            <w:b w:val="0"/>
          </w:rPr>
          <w:t>肆、營養教育問題與政策建議</w:t>
        </w:r>
        <w:r w:rsidR="008756CE" w:rsidRPr="008D7F06">
          <w:rPr>
            <w:b w:val="0"/>
            <w:webHidden/>
          </w:rPr>
          <w:tab/>
        </w:r>
        <w:r w:rsidRPr="008D7F06">
          <w:rPr>
            <w:b w:val="0"/>
            <w:webHidden/>
          </w:rPr>
          <w:fldChar w:fldCharType="begin"/>
        </w:r>
        <w:r w:rsidR="008756CE" w:rsidRPr="008D7F06">
          <w:rPr>
            <w:b w:val="0"/>
            <w:webHidden/>
          </w:rPr>
          <w:instrText xml:space="preserve"> PAGEREF _Toc198202173 \h </w:instrText>
        </w:r>
        <w:r w:rsidRPr="008D7F06">
          <w:rPr>
            <w:b w:val="0"/>
            <w:webHidden/>
          </w:rPr>
        </w:r>
        <w:r w:rsidRPr="008D7F06">
          <w:rPr>
            <w:b w:val="0"/>
            <w:webHidden/>
          </w:rPr>
          <w:fldChar w:fldCharType="separate"/>
        </w:r>
        <w:r w:rsidR="00757967" w:rsidRPr="008D7F06">
          <w:rPr>
            <w:b w:val="0"/>
            <w:webHidden/>
          </w:rPr>
          <w:t>1</w:t>
        </w:r>
        <w:r w:rsidRPr="008D7F06">
          <w:rPr>
            <w:b w:val="0"/>
            <w:webHidden/>
          </w:rPr>
          <w:fldChar w:fldCharType="end"/>
        </w:r>
      </w:hyperlink>
      <w:r w:rsidR="008D7F06">
        <w:rPr>
          <w:b w:val="0"/>
        </w:rPr>
        <w:t>2</w:t>
      </w:r>
    </w:p>
    <w:p w:rsidR="008756CE" w:rsidRPr="008D7F06" w:rsidRDefault="00E04585" w:rsidP="008D7F06">
      <w:pPr>
        <w:pStyle w:val="11"/>
        <w:rPr>
          <w:b w:val="0"/>
        </w:rPr>
      </w:pPr>
      <w:hyperlink w:anchor="_Toc198202174" w:history="1">
        <w:r w:rsidR="008756CE" w:rsidRPr="008D7F06">
          <w:rPr>
            <w:rStyle w:val="af7"/>
            <w:rFonts w:hint="eastAsia"/>
            <w:b w:val="0"/>
          </w:rPr>
          <w:t>伍、結論</w:t>
        </w:r>
        <w:r w:rsidR="008756CE" w:rsidRPr="008D7F06">
          <w:rPr>
            <w:b w:val="0"/>
            <w:webHidden/>
          </w:rPr>
          <w:tab/>
        </w:r>
        <w:r w:rsidRPr="008D7F06">
          <w:rPr>
            <w:b w:val="0"/>
            <w:webHidden/>
          </w:rPr>
          <w:fldChar w:fldCharType="begin"/>
        </w:r>
        <w:r w:rsidR="008756CE" w:rsidRPr="008D7F06">
          <w:rPr>
            <w:b w:val="0"/>
            <w:webHidden/>
          </w:rPr>
          <w:instrText xml:space="preserve"> PAGEREF _Toc198202174 \h </w:instrText>
        </w:r>
        <w:r w:rsidRPr="008D7F06">
          <w:rPr>
            <w:b w:val="0"/>
            <w:webHidden/>
          </w:rPr>
        </w:r>
        <w:r w:rsidRPr="008D7F06">
          <w:rPr>
            <w:b w:val="0"/>
            <w:webHidden/>
          </w:rPr>
          <w:fldChar w:fldCharType="separate"/>
        </w:r>
        <w:r w:rsidR="00757967" w:rsidRPr="008D7F06">
          <w:rPr>
            <w:b w:val="0"/>
            <w:webHidden/>
          </w:rPr>
          <w:t>12</w:t>
        </w:r>
        <w:r w:rsidRPr="008D7F06">
          <w:rPr>
            <w:b w:val="0"/>
            <w:webHidden/>
          </w:rPr>
          <w:fldChar w:fldCharType="end"/>
        </w:r>
      </w:hyperlink>
    </w:p>
    <w:p w:rsidR="008756CE" w:rsidRPr="008D7F06" w:rsidRDefault="00E04585" w:rsidP="008756CE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75" w:history="1">
        <w:r w:rsidR="008D7F06" w:rsidRPr="008D7F06">
          <w:rPr>
            <w:rStyle w:val="af7"/>
            <w:rFonts w:ascii="標楷體" w:eastAsia="標楷體" w:hAnsi="標楷體"/>
            <w:noProof/>
            <w:sz w:val="28"/>
            <w:szCs w:val="28"/>
          </w:rPr>
          <w:t>(</w:t>
        </w:r>
        <w:r w:rsidR="008D7F06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一</w:t>
        </w:r>
        <w:r w:rsidR="008D7F06" w:rsidRPr="008D7F06">
          <w:rPr>
            <w:rStyle w:val="af7"/>
            <w:rFonts w:ascii="標楷體" w:eastAsia="標楷體" w:hAnsi="標楷體"/>
            <w:noProof/>
            <w:sz w:val="28"/>
            <w:szCs w:val="28"/>
          </w:rPr>
          <w:t>)</w:t>
        </w:r>
        <w:r w:rsidR="008756CE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因應</w:t>
        </w:r>
        <w:r w:rsidR="00D02DA5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中央</w:t>
        </w:r>
        <w:r w:rsidR="008756CE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政策及營養中心設置的建佈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begin"/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instrText xml:space="preserve"> PAGEREF _Toc198202175 \h </w:instrTex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separate"/>
        </w:r>
        <w:r w:rsidR="00757967" w:rsidRPr="008D7F06">
          <w:rPr>
            <w:rFonts w:ascii="標楷體" w:eastAsia="標楷體" w:hAnsi="標楷體"/>
            <w:noProof/>
            <w:webHidden/>
            <w:sz w:val="28"/>
            <w:szCs w:val="28"/>
          </w:rPr>
          <w:t>12</w: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end"/>
        </w:r>
      </w:hyperlink>
    </w:p>
    <w:p w:rsidR="008756CE" w:rsidRPr="008D7F06" w:rsidRDefault="00E04585" w:rsidP="008756CE">
      <w:pPr>
        <w:pStyle w:val="21"/>
        <w:tabs>
          <w:tab w:val="right" w:leader="dot" w:pos="8296"/>
        </w:tabs>
        <w:spacing w:line="460" w:lineRule="exact"/>
        <w:rPr>
          <w:rFonts w:ascii="標楷體" w:eastAsia="標楷體" w:hAnsi="標楷體"/>
          <w:noProof/>
          <w:sz w:val="28"/>
          <w:szCs w:val="28"/>
        </w:rPr>
      </w:pPr>
      <w:hyperlink w:anchor="_Toc198202176" w:history="1">
        <w:r w:rsidR="008D7F06" w:rsidRPr="008D7F06">
          <w:rPr>
            <w:rStyle w:val="af7"/>
            <w:rFonts w:ascii="標楷體" w:eastAsia="標楷體" w:hAnsi="標楷體"/>
            <w:noProof/>
            <w:sz w:val="28"/>
            <w:szCs w:val="28"/>
          </w:rPr>
          <w:t>(</w:t>
        </w:r>
        <w:r w:rsidR="008D7F06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二</w:t>
        </w:r>
        <w:r w:rsidR="008D7F06" w:rsidRPr="008D7F06">
          <w:rPr>
            <w:rStyle w:val="af7"/>
            <w:rFonts w:ascii="標楷體" w:eastAsia="標楷體" w:hAnsi="標楷體"/>
            <w:noProof/>
            <w:sz w:val="28"/>
            <w:szCs w:val="28"/>
          </w:rPr>
          <w:t>)</w:t>
        </w:r>
        <w:r w:rsidR="008756CE" w:rsidRPr="008D7F06">
          <w:rPr>
            <w:rStyle w:val="af7"/>
            <w:rFonts w:ascii="標楷體" w:eastAsia="標楷體" w:hAnsi="標楷體" w:hint="eastAsia"/>
            <w:noProof/>
            <w:sz w:val="28"/>
            <w:szCs w:val="28"/>
          </w:rPr>
          <w:t>積極配合中央政策，建立在地化健康支持性環境</w:t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tab/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begin"/>
        </w:r>
        <w:r w:rsidR="008756CE" w:rsidRPr="008D7F06">
          <w:rPr>
            <w:rFonts w:ascii="標楷體" w:eastAsia="標楷體" w:hAnsi="標楷體"/>
            <w:noProof/>
            <w:webHidden/>
            <w:sz w:val="28"/>
            <w:szCs w:val="28"/>
          </w:rPr>
          <w:instrText xml:space="preserve"> PAGEREF _Toc198202176 \h </w:instrTex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separate"/>
        </w:r>
        <w:r w:rsidR="00757967" w:rsidRPr="008D7F06">
          <w:rPr>
            <w:rFonts w:ascii="標楷體" w:eastAsia="標楷體" w:hAnsi="標楷體"/>
            <w:noProof/>
            <w:webHidden/>
            <w:sz w:val="28"/>
            <w:szCs w:val="28"/>
          </w:rPr>
          <w:t>12</w:t>
        </w:r>
        <w:r w:rsidRPr="008D7F06">
          <w:rPr>
            <w:rFonts w:ascii="標楷體" w:eastAsia="標楷體" w:hAnsi="標楷體"/>
            <w:noProof/>
            <w:webHidden/>
            <w:sz w:val="28"/>
            <w:szCs w:val="28"/>
          </w:rPr>
          <w:fldChar w:fldCharType="end"/>
        </w:r>
      </w:hyperlink>
    </w:p>
    <w:p w:rsidR="008756CE" w:rsidRPr="008D7F06" w:rsidRDefault="00E04585" w:rsidP="008D7F06">
      <w:pPr>
        <w:pStyle w:val="11"/>
        <w:rPr>
          <w:b w:val="0"/>
        </w:rPr>
      </w:pPr>
      <w:hyperlink w:anchor="_Toc198202177" w:history="1">
        <w:r w:rsidR="008756CE" w:rsidRPr="008D7F06">
          <w:rPr>
            <w:rStyle w:val="af7"/>
            <w:rFonts w:hint="eastAsia"/>
            <w:b w:val="0"/>
          </w:rPr>
          <w:t>陸、參考資料</w:t>
        </w:r>
        <w:r w:rsidR="008756CE" w:rsidRPr="008D7F06">
          <w:rPr>
            <w:b w:val="0"/>
            <w:webHidden/>
          </w:rPr>
          <w:tab/>
        </w:r>
        <w:r w:rsidRPr="008D7F06">
          <w:rPr>
            <w:b w:val="0"/>
            <w:webHidden/>
          </w:rPr>
          <w:fldChar w:fldCharType="begin"/>
        </w:r>
        <w:r w:rsidR="008756CE" w:rsidRPr="008D7F06">
          <w:rPr>
            <w:b w:val="0"/>
            <w:webHidden/>
          </w:rPr>
          <w:instrText xml:space="preserve"> PAGEREF _Toc198202177 \h </w:instrText>
        </w:r>
        <w:r w:rsidRPr="008D7F06">
          <w:rPr>
            <w:b w:val="0"/>
            <w:webHidden/>
          </w:rPr>
        </w:r>
        <w:r w:rsidRPr="008D7F06">
          <w:rPr>
            <w:b w:val="0"/>
            <w:webHidden/>
          </w:rPr>
          <w:fldChar w:fldCharType="separate"/>
        </w:r>
        <w:r w:rsidR="00757967" w:rsidRPr="008D7F06">
          <w:rPr>
            <w:b w:val="0"/>
            <w:webHidden/>
          </w:rPr>
          <w:t>1</w:t>
        </w:r>
        <w:r w:rsidRPr="008D7F06">
          <w:rPr>
            <w:b w:val="0"/>
            <w:webHidden/>
          </w:rPr>
          <w:fldChar w:fldCharType="end"/>
        </w:r>
      </w:hyperlink>
      <w:r w:rsidR="008D7F06" w:rsidRPr="008D7F06">
        <w:rPr>
          <w:b w:val="0"/>
        </w:rPr>
        <w:t>4</w:t>
      </w:r>
    </w:p>
    <w:p w:rsidR="0066586C" w:rsidRPr="00757967" w:rsidRDefault="00E04585" w:rsidP="007955DF">
      <w:pPr>
        <w:spacing w:after="0" w:line="460" w:lineRule="exact"/>
        <w:rPr>
          <w:rFonts w:ascii="標楷體" w:eastAsia="標楷體" w:hAnsi="標楷體"/>
          <w:b/>
          <w:bCs/>
        </w:rPr>
      </w:pPr>
      <w:r w:rsidRPr="008D7F06">
        <w:rPr>
          <w:rFonts w:ascii="標楷體" w:eastAsia="標楷體" w:hAnsi="標楷體" w:cs="新細明體"/>
          <w:kern w:val="0"/>
          <w:sz w:val="28"/>
          <w:szCs w:val="28"/>
        </w:rPr>
        <w:fldChar w:fldCharType="end"/>
      </w:r>
      <w:r w:rsidR="00FB6880" w:rsidRPr="008756CE">
        <w:rPr>
          <w:rFonts w:cs="新細明體"/>
          <w:kern w:val="0"/>
          <w:szCs w:val="22"/>
        </w:rPr>
        <w:br w:type="page"/>
      </w:r>
      <w:bookmarkStart w:id="0" w:name="_Toc198200891"/>
      <w:bookmarkStart w:id="1" w:name="_Toc198202163"/>
      <w:r w:rsidR="008756CE" w:rsidRPr="00757967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壹、前言</w:t>
      </w:r>
      <w:bookmarkEnd w:id="0"/>
      <w:bookmarkEnd w:id="1"/>
    </w:p>
    <w:p w:rsidR="00AD5DE1" w:rsidRPr="00AD5DE1" w:rsidRDefault="00AD5DE1" w:rsidP="007955DF">
      <w:pPr>
        <w:pStyle w:val="a9"/>
        <w:spacing w:after="0" w:line="460" w:lineRule="exact"/>
        <w:ind w:left="0" w:firstLineChars="200" w:firstLine="560"/>
        <w:rPr>
          <w:rFonts w:ascii="標楷體" w:eastAsia="標楷體" w:hAnsi="標楷體"/>
          <w:sz w:val="28"/>
          <w:szCs w:val="28"/>
        </w:rPr>
      </w:pPr>
      <w:bookmarkStart w:id="2" w:name="_Toc198200892"/>
      <w:bookmarkStart w:id="3" w:name="_Toc198202164"/>
      <w:r w:rsidRPr="00AD5DE1">
        <w:rPr>
          <w:rFonts w:ascii="標楷體" w:eastAsia="標楷體" w:hAnsi="標楷體" w:hint="eastAsia"/>
          <w:sz w:val="28"/>
          <w:szCs w:val="28"/>
        </w:rPr>
        <w:t>臺灣自1993年步入高齡化社會，並預計於2025年進入「超高齡社會」，高齡人口的健康與生活品質成為國家級挑戰。在這樣的背景下，營養與健康飲食扮演著影響長者生活功能、疾病風險及失能進程的關鍵角色。國民</w:t>
      </w:r>
      <w:proofErr w:type="gramStart"/>
      <w:r w:rsidRPr="00AD5DE1">
        <w:rPr>
          <w:rFonts w:ascii="標楷體" w:eastAsia="標楷體" w:hAnsi="標楷體" w:hint="eastAsia"/>
          <w:sz w:val="28"/>
          <w:szCs w:val="28"/>
        </w:rPr>
        <w:t>健康署</w:t>
      </w:r>
      <w:proofErr w:type="gramEnd"/>
      <w:r w:rsidRPr="00AD5DE1">
        <w:rPr>
          <w:rFonts w:ascii="標楷體" w:eastAsia="標楷體" w:hAnsi="標楷體" w:hint="eastAsia"/>
          <w:sz w:val="28"/>
          <w:szCs w:val="28"/>
        </w:rPr>
        <w:t>指出，高齡者普遍面臨蛋白質攝取不足、蔬果與乳品量低、膳食多樣性欠缺以及慢性病影響進食等問題，這些因素常導致長者在尚未明顯失能前即出現營養不良與衰弱狀況。為此，衛生福利部自2017年起推動「社區營養推廣中心」，並將專業營養服務延伸至長照2.0政策架構下，透過社區介入強化長者營養照護。然而，對於澎湖這類離島地區，受地理位置與交通限制，長者獲取營養資源與知識的門檻相對更高，因此需發展在地化的營養政策以因應。</w:t>
      </w:r>
    </w:p>
    <w:p w:rsidR="009339A1" w:rsidRDefault="008756CE" w:rsidP="007955DF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 w:rsidRPr="009339A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貳、澎湖縣人口老化與問題背景分析</w:t>
      </w:r>
      <w:bookmarkStart w:id="4" w:name="_Toc198200893"/>
      <w:bookmarkStart w:id="5" w:name="_Toc198202165"/>
      <w:bookmarkEnd w:id="2"/>
      <w:bookmarkEnd w:id="3"/>
    </w:p>
    <w:p w:rsidR="00FE0528" w:rsidRPr="009339A1" w:rsidRDefault="009339A1" w:rsidP="009339A1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FE0528" w:rsidRPr="009339A1">
        <w:rPr>
          <w:rFonts w:ascii="標楷體" w:eastAsia="標楷體" w:hAnsi="標楷體"/>
          <w:b/>
          <w:sz w:val="28"/>
          <w:szCs w:val="28"/>
        </w:rPr>
        <w:t>人口老化概況</w:t>
      </w:r>
      <w:bookmarkEnd w:id="4"/>
      <w:bookmarkEnd w:id="5"/>
    </w:p>
    <w:p w:rsidR="009339A1" w:rsidRPr="00AD5DE1" w:rsidRDefault="005E3A4D" w:rsidP="00AD5DE1">
      <w:pPr>
        <w:pStyle w:val="a9"/>
        <w:spacing w:after="0" w:line="460" w:lineRule="exact"/>
        <w:ind w:left="284" w:firstLineChars="200" w:firstLine="560"/>
        <w:rPr>
          <w:rFonts w:ascii="標楷體" w:eastAsia="標楷體" w:hAnsi="標楷體"/>
          <w:sz w:val="28"/>
          <w:szCs w:val="28"/>
        </w:rPr>
      </w:pPr>
      <w:r w:rsidRPr="00FE0528">
        <w:rPr>
          <w:rFonts w:ascii="標楷體" w:eastAsia="標楷體" w:hAnsi="標楷體" w:hint="eastAsia"/>
          <w:sz w:val="28"/>
          <w:szCs w:val="28"/>
        </w:rPr>
        <w:t>澎湖縣自109年至113年間老年人口呈穩定上升趨勢，根據</w:t>
      </w:r>
      <w:r w:rsidR="008405D8" w:rsidRPr="00FE0528">
        <w:rPr>
          <w:rFonts w:ascii="標楷體" w:eastAsia="標楷體" w:hAnsi="標楷體" w:hint="eastAsia"/>
          <w:sz w:val="28"/>
          <w:szCs w:val="28"/>
        </w:rPr>
        <w:t>澎湖</w:t>
      </w:r>
      <w:r w:rsidRPr="00FE0528">
        <w:rPr>
          <w:rFonts w:ascii="標楷體" w:eastAsia="標楷體" w:hAnsi="標楷體" w:hint="eastAsia"/>
          <w:sz w:val="28"/>
          <w:szCs w:val="28"/>
        </w:rPr>
        <w:t>縣</w:t>
      </w:r>
      <w:r w:rsidR="008405D8" w:rsidRPr="00FE0528">
        <w:rPr>
          <w:rFonts w:ascii="標楷體" w:eastAsia="標楷體" w:hAnsi="標楷體" w:hint="eastAsia"/>
          <w:sz w:val="28"/>
          <w:szCs w:val="28"/>
        </w:rPr>
        <w:t>政</w:t>
      </w:r>
      <w:r w:rsidRPr="00FE0528">
        <w:rPr>
          <w:rFonts w:ascii="標楷體" w:eastAsia="標楷體" w:hAnsi="標楷體" w:hint="eastAsia"/>
          <w:sz w:val="28"/>
          <w:szCs w:val="28"/>
        </w:rPr>
        <w:t>府統計，113年65歲以上人口已達21,475人，占總人口比率近19.9%，預計將於114年正式跨入超高齡社會門檻。若觀察同期間老化指數，由109年之165.7%攀升至113年之207.4%，反映老年人口已大幅超越幼年人口，顯示整體社會結構持續朝向老年型社會演變。</w:t>
      </w:r>
    </w:p>
    <w:p w:rsidR="00DE01FC" w:rsidRPr="002816EB" w:rsidRDefault="00DE01FC" w:rsidP="008756CE">
      <w:pPr>
        <w:spacing w:after="0" w:line="460" w:lineRule="exact"/>
        <w:ind w:leftChars="118" w:left="283"/>
        <w:jc w:val="center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表1</w:t>
      </w:r>
      <w:r w:rsidR="009339A1">
        <w:rPr>
          <w:rFonts w:ascii="標楷體" w:eastAsia="標楷體" w:hAnsi="標楷體" w:hint="eastAsia"/>
          <w:sz w:val="28"/>
          <w:szCs w:val="28"/>
        </w:rPr>
        <w:t>.</w:t>
      </w:r>
      <w:r w:rsidRPr="002816EB">
        <w:rPr>
          <w:rFonts w:ascii="標楷體" w:eastAsia="標楷體" w:hAnsi="標楷體" w:hint="eastAsia"/>
          <w:sz w:val="28"/>
          <w:szCs w:val="28"/>
        </w:rPr>
        <w:t>澎湖縣人口老化概況</w:t>
      </w:r>
    </w:p>
    <w:tbl>
      <w:tblPr>
        <w:tblStyle w:val="ae"/>
        <w:tblW w:w="0" w:type="auto"/>
        <w:tblLook w:val="04A0"/>
      </w:tblPr>
      <w:tblGrid>
        <w:gridCol w:w="1101"/>
        <w:gridCol w:w="1559"/>
        <w:gridCol w:w="1417"/>
        <w:gridCol w:w="1701"/>
        <w:gridCol w:w="2694"/>
      </w:tblGrid>
      <w:tr w:rsidR="00DE01FC" w:rsidRPr="002816EB" w:rsidTr="007955DF">
        <w:trPr>
          <w:trHeight w:val="1531"/>
        </w:trPr>
        <w:tc>
          <w:tcPr>
            <w:tcW w:w="1101" w:type="dxa"/>
            <w:vAlign w:val="center"/>
          </w:tcPr>
          <w:p w:rsidR="00DE01FC" w:rsidRPr="00FE2FCE" w:rsidRDefault="00DE01FC" w:rsidP="007955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2FCE">
              <w:rPr>
                <w:rFonts w:ascii="標楷體" w:eastAsia="標楷體" w:hAnsi="標楷體" w:hint="eastAsia"/>
                <w:sz w:val="28"/>
                <w:szCs w:val="28"/>
              </w:rPr>
              <w:t>年底別</w:t>
            </w:r>
          </w:p>
        </w:tc>
        <w:tc>
          <w:tcPr>
            <w:tcW w:w="1559" w:type="dxa"/>
            <w:vAlign w:val="center"/>
          </w:tcPr>
          <w:p w:rsidR="00DE01FC" w:rsidRPr="00FE2FCE" w:rsidRDefault="00DE01FC" w:rsidP="007955DF">
            <w:pPr>
              <w:pStyle w:val="Default"/>
              <w:spacing w:line="400" w:lineRule="exact"/>
              <w:jc w:val="center"/>
              <w:rPr>
                <w:rFonts w:hAnsi="標楷體"/>
                <w:sz w:val="28"/>
                <w:szCs w:val="28"/>
              </w:rPr>
            </w:pPr>
            <w:r w:rsidRPr="00FE2FCE">
              <w:rPr>
                <w:rFonts w:hAnsi="標楷體" w:hint="eastAsia"/>
                <w:sz w:val="28"/>
                <w:szCs w:val="28"/>
              </w:rPr>
              <w:t>人口數（人）</w:t>
            </w:r>
          </w:p>
        </w:tc>
        <w:tc>
          <w:tcPr>
            <w:tcW w:w="1417" w:type="dxa"/>
            <w:vAlign w:val="center"/>
          </w:tcPr>
          <w:p w:rsidR="00342D26" w:rsidRPr="00FE2FCE" w:rsidRDefault="00DE01FC" w:rsidP="007955DF">
            <w:pPr>
              <w:pStyle w:val="Default"/>
              <w:spacing w:line="400" w:lineRule="exact"/>
              <w:jc w:val="center"/>
              <w:rPr>
                <w:rFonts w:hAnsi="標楷體"/>
                <w:sz w:val="28"/>
                <w:szCs w:val="28"/>
              </w:rPr>
            </w:pPr>
            <w:r w:rsidRPr="00FE2FCE">
              <w:rPr>
                <w:rFonts w:hAnsi="標楷體" w:hint="eastAsia"/>
                <w:sz w:val="28"/>
                <w:szCs w:val="28"/>
              </w:rPr>
              <w:t>老年人口數(人</w:t>
            </w:r>
            <w:proofErr w:type="gramStart"/>
            <w:r w:rsidRPr="00FE2FCE">
              <w:rPr>
                <w:rFonts w:hAnsi="標楷體" w:hint="eastAsia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1701" w:type="dxa"/>
            <w:vAlign w:val="center"/>
          </w:tcPr>
          <w:p w:rsidR="00DE01FC" w:rsidRPr="00FE2FCE" w:rsidRDefault="00DE01FC" w:rsidP="007955DF">
            <w:pPr>
              <w:pStyle w:val="Default"/>
              <w:spacing w:line="400" w:lineRule="exact"/>
              <w:jc w:val="center"/>
              <w:rPr>
                <w:rFonts w:hAnsi="標楷體"/>
                <w:sz w:val="28"/>
                <w:szCs w:val="28"/>
              </w:rPr>
            </w:pPr>
            <w:r w:rsidRPr="00FE2FCE">
              <w:rPr>
                <w:rFonts w:hAnsi="標楷體" w:hint="eastAsia"/>
                <w:sz w:val="28"/>
                <w:szCs w:val="28"/>
              </w:rPr>
              <w:t>老年人口占全</w:t>
            </w:r>
            <w:r w:rsidR="00342D26" w:rsidRPr="00FE2FCE">
              <w:rPr>
                <w:rFonts w:hAnsi="標楷體" w:hint="eastAsia"/>
                <w:sz w:val="28"/>
                <w:szCs w:val="28"/>
              </w:rPr>
              <w:t>縣</w:t>
            </w:r>
            <w:r w:rsidRPr="00FE2FCE">
              <w:rPr>
                <w:rFonts w:hAnsi="標楷體" w:hint="eastAsia"/>
                <w:sz w:val="28"/>
                <w:szCs w:val="28"/>
              </w:rPr>
              <w:t>人口比率</w:t>
            </w:r>
            <w:r w:rsidRPr="00FE2FCE">
              <w:rPr>
                <w:rFonts w:hAnsi="標楷體"/>
                <w:sz w:val="28"/>
                <w:szCs w:val="28"/>
              </w:rPr>
              <w:t xml:space="preserve"> </w:t>
            </w:r>
            <w:r w:rsidR="00342D26" w:rsidRPr="00FE2FCE">
              <w:rPr>
                <w:rFonts w:hAnsi="標楷體" w:hint="eastAsia"/>
                <w:sz w:val="28"/>
                <w:szCs w:val="28"/>
              </w:rPr>
              <w:t>(</w:t>
            </w:r>
            <w:r w:rsidRPr="00FE2FCE">
              <w:rPr>
                <w:rFonts w:hAnsi="標楷體" w:cs="Times New Roman"/>
                <w:bCs/>
                <w:sz w:val="28"/>
                <w:szCs w:val="28"/>
              </w:rPr>
              <w:t>%</w:t>
            </w:r>
            <w:proofErr w:type="gramStart"/>
            <w:r w:rsidRPr="00FE2FCE">
              <w:rPr>
                <w:rFonts w:hAnsi="標楷體" w:hint="eastAsia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694" w:type="dxa"/>
            <w:vAlign w:val="center"/>
          </w:tcPr>
          <w:p w:rsidR="009339A1" w:rsidRPr="00FE2FCE" w:rsidRDefault="00DE01FC" w:rsidP="007955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2FCE">
              <w:rPr>
                <w:rFonts w:ascii="標楷體" w:eastAsia="標楷體" w:hAnsi="標楷體" w:hint="eastAsia"/>
                <w:sz w:val="28"/>
                <w:szCs w:val="28"/>
              </w:rPr>
              <w:t>老化指數（%）</w:t>
            </w:r>
          </w:p>
          <w:p w:rsidR="00DE01FC" w:rsidRPr="00FE2FCE" w:rsidRDefault="009339A1" w:rsidP="007955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E2FCE">
              <w:rPr>
                <w:rFonts w:ascii="標楷體" w:eastAsia="標楷體" w:hAnsi="標楷體" w:hint="eastAsia"/>
                <w:sz w:val="16"/>
                <w:szCs w:val="16"/>
              </w:rPr>
              <w:t>註</w:t>
            </w:r>
            <w:proofErr w:type="gramEnd"/>
            <w:r w:rsidRPr="00FE2FCE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FE2FCE">
              <w:rPr>
                <w:rFonts w:ascii="標楷體" w:eastAsia="標楷體" w:hAnsi="標楷體" w:hint="eastAsia"/>
                <w:sz w:val="16"/>
                <w:szCs w:val="16"/>
              </w:rPr>
              <w:t>：係指老年人口對幼年人口之比率，老化指數</w:t>
            </w:r>
            <w:r w:rsidRPr="00FE2FCE">
              <w:rPr>
                <w:rFonts w:ascii="標楷體" w:eastAsia="標楷體" w:hAnsi="標楷體"/>
                <w:sz w:val="16"/>
                <w:szCs w:val="16"/>
              </w:rPr>
              <w:t>=</w:t>
            </w:r>
            <w:r w:rsidRPr="00FE2FCE">
              <w:rPr>
                <w:rFonts w:ascii="標楷體" w:eastAsia="標楷體" w:hAnsi="標楷體" w:hint="eastAsia"/>
                <w:sz w:val="16"/>
                <w:szCs w:val="16"/>
              </w:rPr>
              <w:t>（老年人口數÷幼年人口數）×</w:t>
            </w:r>
            <w:r w:rsidRPr="00FE2FCE">
              <w:rPr>
                <w:rFonts w:ascii="標楷體" w:eastAsia="標楷體" w:hAnsi="標楷體"/>
                <w:sz w:val="16"/>
                <w:szCs w:val="16"/>
              </w:rPr>
              <w:t>100</w:t>
            </w:r>
            <w:r w:rsidRPr="00FE2FCE">
              <w:rPr>
                <w:rFonts w:ascii="標楷體" w:eastAsia="標楷體" w:hAnsi="標楷體" w:hint="eastAsia"/>
                <w:sz w:val="16"/>
                <w:szCs w:val="16"/>
              </w:rPr>
              <w:t>。</w:t>
            </w:r>
          </w:p>
        </w:tc>
      </w:tr>
      <w:tr w:rsidR="00DE01FC" w:rsidRPr="002816EB" w:rsidTr="007955DF">
        <w:trPr>
          <w:trHeight w:val="397"/>
        </w:trPr>
        <w:tc>
          <w:tcPr>
            <w:tcW w:w="1101" w:type="dxa"/>
          </w:tcPr>
          <w:p w:rsidR="00DE01FC" w:rsidRPr="002816EB" w:rsidRDefault="00342D26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109年</w:t>
            </w:r>
          </w:p>
        </w:tc>
        <w:tc>
          <w:tcPr>
            <w:tcW w:w="1559" w:type="dxa"/>
          </w:tcPr>
          <w:p w:rsidR="00DE01FC" w:rsidRPr="002816EB" w:rsidRDefault="00E04585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="009339A1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instrText>= 105952 \* Arabic</w:instrText>
            </w:r>
            <w:r w:rsidR="009339A1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9339A1">
              <w:rPr>
                <w:rFonts w:ascii="標楷體" w:eastAsia="標楷體" w:hAnsi="標楷體"/>
                <w:noProof/>
                <w:sz w:val="28"/>
                <w:szCs w:val="28"/>
              </w:rPr>
              <w:t>105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9339A1">
              <w:rPr>
                <w:rFonts w:ascii="標楷體" w:eastAsia="標楷體" w:hAnsi="標楷體"/>
                <w:noProof/>
                <w:sz w:val="28"/>
                <w:szCs w:val="28"/>
              </w:rPr>
              <w:t>952</w: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417" w:type="dxa"/>
          </w:tcPr>
          <w:p w:rsidR="00DE01FC" w:rsidRPr="002816EB" w:rsidRDefault="00684DBC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106</w:t>
            </w:r>
          </w:p>
        </w:tc>
        <w:tc>
          <w:tcPr>
            <w:tcW w:w="1701" w:type="dxa"/>
          </w:tcPr>
          <w:p w:rsidR="00DE01FC" w:rsidRPr="002816EB" w:rsidRDefault="00684DBC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.00%</w:t>
            </w:r>
          </w:p>
        </w:tc>
        <w:tc>
          <w:tcPr>
            <w:tcW w:w="2694" w:type="dxa"/>
          </w:tcPr>
          <w:p w:rsidR="00DE01FC" w:rsidRPr="002816EB" w:rsidRDefault="00684DBC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165.7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</w:p>
        </w:tc>
      </w:tr>
      <w:tr w:rsidR="00DE01FC" w:rsidRPr="002816EB" w:rsidTr="007955DF">
        <w:trPr>
          <w:trHeight w:val="397"/>
        </w:trPr>
        <w:tc>
          <w:tcPr>
            <w:tcW w:w="1101" w:type="dxa"/>
          </w:tcPr>
          <w:p w:rsidR="00DE01FC" w:rsidRPr="002816EB" w:rsidRDefault="00342D26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110年</w:t>
            </w:r>
          </w:p>
        </w:tc>
        <w:tc>
          <w:tcPr>
            <w:tcW w:w="1559" w:type="dxa"/>
          </w:tcPr>
          <w:p w:rsidR="00DE01FC" w:rsidRPr="002816EB" w:rsidRDefault="00967EAF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106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340</w:t>
            </w:r>
          </w:p>
        </w:tc>
        <w:tc>
          <w:tcPr>
            <w:tcW w:w="1417" w:type="dxa"/>
          </w:tcPr>
          <w:p w:rsidR="00DE01FC" w:rsidRPr="002816EB" w:rsidRDefault="00967EAF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823</w:t>
            </w:r>
          </w:p>
        </w:tc>
        <w:tc>
          <w:tcPr>
            <w:tcW w:w="1701" w:type="dxa"/>
          </w:tcPr>
          <w:p w:rsidR="00DE01FC" w:rsidRPr="002816EB" w:rsidRDefault="00967EAF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17.7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</w:p>
        </w:tc>
        <w:tc>
          <w:tcPr>
            <w:tcW w:w="2694" w:type="dxa"/>
          </w:tcPr>
          <w:p w:rsidR="00DE01FC" w:rsidRPr="002816EB" w:rsidRDefault="00967EAF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175.4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</w:p>
        </w:tc>
      </w:tr>
      <w:tr w:rsidR="00DE01FC" w:rsidRPr="002816EB" w:rsidTr="007955DF">
        <w:trPr>
          <w:trHeight w:val="397"/>
        </w:trPr>
        <w:tc>
          <w:tcPr>
            <w:tcW w:w="1101" w:type="dxa"/>
          </w:tcPr>
          <w:p w:rsidR="00DE01FC" w:rsidRPr="002816EB" w:rsidRDefault="00342D26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111年</w:t>
            </w:r>
          </w:p>
        </w:tc>
        <w:tc>
          <w:tcPr>
            <w:tcW w:w="1559" w:type="dxa"/>
          </w:tcPr>
          <w:p w:rsidR="00DE01FC" w:rsidRPr="002816EB" w:rsidRDefault="00967EAF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107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223</w:t>
            </w:r>
          </w:p>
        </w:tc>
        <w:tc>
          <w:tcPr>
            <w:tcW w:w="1417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581</w:t>
            </w:r>
          </w:p>
        </w:tc>
        <w:tc>
          <w:tcPr>
            <w:tcW w:w="1701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18.3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</w:p>
        </w:tc>
        <w:tc>
          <w:tcPr>
            <w:tcW w:w="2694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184.1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</w:p>
        </w:tc>
      </w:tr>
      <w:tr w:rsidR="00DE01FC" w:rsidRPr="002816EB" w:rsidTr="007955DF">
        <w:trPr>
          <w:trHeight w:val="397"/>
        </w:trPr>
        <w:tc>
          <w:tcPr>
            <w:tcW w:w="1101" w:type="dxa"/>
          </w:tcPr>
          <w:p w:rsidR="00DE01FC" w:rsidRPr="002816EB" w:rsidRDefault="00342D26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112年</w:t>
            </w:r>
          </w:p>
        </w:tc>
        <w:tc>
          <w:tcPr>
            <w:tcW w:w="1559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107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739</w:t>
            </w:r>
          </w:p>
        </w:tc>
        <w:tc>
          <w:tcPr>
            <w:tcW w:w="1417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433</w:t>
            </w:r>
          </w:p>
        </w:tc>
        <w:tc>
          <w:tcPr>
            <w:tcW w:w="1701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.00%</w:t>
            </w:r>
          </w:p>
        </w:tc>
        <w:tc>
          <w:tcPr>
            <w:tcW w:w="2694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194.3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</w:p>
        </w:tc>
      </w:tr>
      <w:tr w:rsidR="00DE01FC" w:rsidRPr="002816EB" w:rsidTr="007955DF">
        <w:trPr>
          <w:trHeight w:val="397"/>
        </w:trPr>
        <w:tc>
          <w:tcPr>
            <w:tcW w:w="1101" w:type="dxa"/>
          </w:tcPr>
          <w:p w:rsidR="00DE01FC" w:rsidRPr="002816EB" w:rsidRDefault="00342D26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113年</w:t>
            </w:r>
          </w:p>
        </w:tc>
        <w:tc>
          <w:tcPr>
            <w:tcW w:w="1559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107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901</w:t>
            </w:r>
          </w:p>
        </w:tc>
        <w:tc>
          <w:tcPr>
            <w:tcW w:w="1417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475</w:t>
            </w:r>
          </w:p>
        </w:tc>
        <w:tc>
          <w:tcPr>
            <w:tcW w:w="1701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19.9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</w:p>
        </w:tc>
        <w:tc>
          <w:tcPr>
            <w:tcW w:w="2694" w:type="dxa"/>
          </w:tcPr>
          <w:p w:rsidR="00DE01FC" w:rsidRPr="002816EB" w:rsidRDefault="003D775A" w:rsidP="007955D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207.4</w:t>
            </w:r>
            <w:r w:rsidR="009339A1">
              <w:rPr>
                <w:rFonts w:ascii="標楷體" w:eastAsia="標楷體" w:hAnsi="標楷體" w:hint="eastAsia"/>
                <w:sz w:val="28"/>
                <w:szCs w:val="28"/>
              </w:rPr>
              <w:t>0%</w:t>
            </w:r>
          </w:p>
        </w:tc>
      </w:tr>
    </w:tbl>
    <w:p w:rsidR="00DE01FC" w:rsidRDefault="00DE01FC" w:rsidP="008756CE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資料來源：澎湖縣</w:t>
      </w:r>
      <w:r w:rsidR="009339A1">
        <w:rPr>
          <w:rFonts w:ascii="標楷體" w:eastAsia="標楷體" w:hAnsi="標楷體" w:hint="eastAsia"/>
          <w:sz w:val="28"/>
          <w:szCs w:val="28"/>
        </w:rPr>
        <w:t>政府</w:t>
      </w:r>
      <w:r w:rsidRPr="002816EB">
        <w:rPr>
          <w:rFonts w:ascii="標楷體" w:eastAsia="標楷體" w:hAnsi="標楷體" w:hint="eastAsia"/>
          <w:sz w:val="28"/>
          <w:szCs w:val="28"/>
        </w:rPr>
        <w:t>民政處</w:t>
      </w:r>
      <w:r w:rsidR="009339A1" w:rsidRPr="002816EB">
        <w:rPr>
          <w:rFonts w:ascii="標楷體" w:eastAsia="標楷體" w:hAnsi="標楷體" w:hint="eastAsia"/>
          <w:sz w:val="28"/>
          <w:szCs w:val="28"/>
        </w:rPr>
        <w:t>戶籍登記資料</w:t>
      </w:r>
      <w:r w:rsidRPr="002816EB">
        <w:rPr>
          <w:rFonts w:ascii="標楷體" w:eastAsia="標楷體" w:hAnsi="標楷體" w:hint="eastAsia"/>
          <w:sz w:val="28"/>
          <w:szCs w:val="28"/>
        </w:rPr>
        <w:t>。</w:t>
      </w:r>
    </w:p>
    <w:p w:rsidR="00A762BA" w:rsidRDefault="00A762BA" w:rsidP="00A762BA">
      <w:pPr>
        <w:spacing w:after="0" w:line="460" w:lineRule="exact"/>
        <w:ind w:leftChars="118" w:left="283"/>
        <w:jc w:val="center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lastRenderedPageBreak/>
        <w:t>表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7955DF">
        <w:rPr>
          <w:rFonts w:ascii="標楷體" w:eastAsia="標楷體" w:hAnsi="標楷體" w:hint="eastAsia"/>
          <w:sz w:val="28"/>
          <w:szCs w:val="28"/>
        </w:rPr>
        <w:t>.</w:t>
      </w:r>
      <w:r w:rsidRPr="002816EB">
        <w:rPr>
          <w:rFonts w:ascii="標楷體" w:eastAsia="標楷體" w:hAnsi="標楷體" w:hint="eastAsia"/>
          <w:sz w:val="28"/>
          <w:szCs w:val="28"/>
        </w:rPr>
        <w:t>澎湖縣</w:t>
      </w:r>
      <w:r>
        <w:rPr>
          <w:rFonts w:ascii="標楷體" w:eastAsia="標楷體" w:hAnsi="標楷體" w:hint="eastAsia"/>
          <w:sz w:val="28"/>
          <w:szCs w:val="28"/>
        </w:rPr>
        <w:t>109-113年</w:t>
      </w:r>
      <w:r w:rsidRPr="002816EB">
        <w:rPr>
          <w:rFonts w:ascii="標楷體" w:eastAsia="標楷體" w:hAnsi="標楷體" w:hint="eastAsia"/>
          <w:sz w:val="28"/>
          <w:szCs w:val="28"/>
        </w:rPr>
        <w:t>人口老化</w:t>
      </w:r>
      <w:r>
        <w:rPr>
          <w:rFonts w:ascii="標楷體" w:eastAsia="標楷體" w:hAnsi="標楷體" w:hint="eastAsia"/>
          <w:sz w:val="28"/>
          <w:szCs w:val="28"/>
        </w:rPr>
        <w:t>、老化指數成長</w:t>
      </w:r>
    </w:p>
    <w:p w:rsidR="008756CE" w:rsidRDefault="00A762BA" w:rsidP="008756CE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2553970</wp:posOffset>
            </wp:positionH>
            <wp:positionV relativeFrom="paragraph">
              <wp:posOffset>59055</wp:posOffset>
            </wp:positionV>
            <wp:extent cx="2409190" cy="2003425"/>
            <wp:effectExtent l="19050" t="0" r="10160" b="0"/>
            <wp:wrapNone/>
            <wp:docPr id="492369221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246380</wp:posOffset>
            </wp:positionH>
            <wp:positionV relativeFrom="paragraph">
              <wp:posOffset>59055</wp:posOffset>
            </wp:positionV>
            <wp:extent cx="2305685" cy="2003425"/>
            <wp:effectExtent l="19050" t="0" r="18415" b="0"/>
            <wp:wrapNone/>
            <wp:docPr id="950517864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8756CE" w:rsidRDefault="008756CE" w:rsidP="008756CE">
      <w:pPr>
        <w:spacing w:after="0" w:line="460" w:lineRule="exact"/>
        <w:rPr>
          <w:rFonts w:ascii="標楷體" w:eastAsia="標楷體" w:hAnsi="標楷體"/>
          <w:sz w:val="28"/>
          <w:szCs w:val="28"/>
        </w:rPr>
      </w:pPr>
    </w:p>
    <w:p w:rsidR="008756CE" w:rsidRDefault="008756CE" w:rsidP="008756CE">
      <w:pPr>
        <w:spacing w:after="0" w:line="460" w:lineRule="exact"/>
        <w:rPr>
          <w:rFonts w:ascii="標楷體" w:eastAsia="標楷體" w:hAnsi="標楷體"/>
          <w:sz w:val="28"/>
          <w:szCs w:val="28"/>
        </w:rPr>
      </w:pPr>
    </w:p>
    <w:p w:rsidR="008756CE" w:rsidRDefault="008756CE" w:rsidP="008756CE">
      <w:pPr>
        <w:spacing w:after="0" w:line="460" w:lineRule="exact"/>
        <w:rPr>
          <w:rFonts w:ascii="標楷體" w:eastAsia="標楷體" w:hAnsi="標楷體"/>
          <w:sz w:val="28"/>
          <w:szCs w:val="28"/>
        </w:rPr>
      </w:pPr>
    </w:p>
    <w:p w:rsidR="008756CE" w:rsidRDefault="008756CE" w:rsidP="008756CE">
      <w:pPr>
        <w:spacing w:after="0" w:line="460" w:lineRule="exact"/>
        <w:rPr>
          <w:rFonts w:ascii="標楷體" w:eastAsia="標楷體" w:hAnsi="標楷體"/>
          <w:sz w:val="28"/>
          <w:szCs w:val="28"/>
        </w:rPr>
      </w:pPr>
    </w:p>
    <w:p w:rsidR="008756CE" w:rsidRPr="005E3A4D" w:rsidRDefault="008756CE" w:rsidP="008756CE">
      <w:pPr>
        <w:spacing w:after="0" w:line="460" w:lineRule="exact"/>
        <w:rPr>
          <w:rFonts w:ascii="標楷體" w:eastAsia="標楷體" w:hAnsi="標楷體"/>
          <w:sz w:val="28"/>
          <w:szCs w:val="28"/>
        </w:rPr>
      </w:pPr>
    </w:p>
    <w:p w:rsidR="000C0E39" w:rsidRDefault="000C0E39" w:rsidP="008756CE">
      <w:pPr>
        <w:spacing w:line="460" w:lineRule="exact"/>
      </w:pPr>
    </w:p>
    <w:p w:rsidR="00FE2FCE" w:rsidRDefault="00A762BA" w:rsidP="007955DF">
      <w:pPr>
        <w:spacing w:after="0" w:line="46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資料來源：澎湖縣</w:t>
      </w:r>
      <w:r w:rsidR="00FE2FCE">
        <w:rPr>
          <w:rFonts w:ascii="標楷體" w:eastAsia="標楷體" w:hAnsi="標楷體" w:hint="eastAsia"/>
          <w:sz w:val="28"/>
          <w:szCs w:val="28"/>
        </w:rPr>
        <w:t>政府</w:t>
      </w:r>
      <w:r w:rsidRPr="002816EB">
        <w:rPr>
          <w:rFonts w:ascii="標楷體" w:eastAsia="標楷體" w:hAnsi="標楷體" w:hint="eastAsia"/>
          <w:sz w:val="28"/>
          <w:szCs w:val="28"/>
        </w:rPr>
        <w:t>民政處。</w:t>
      </w:r>
      <w:bookmarkStart w:id="6" w:name="_Toc198200894"/>
      <w:bookmarkStart w:id="7" w:name="_Toc198202166"/>
    </w:p>
    <w:p w:rsidR="00FE0528" w:rsidRPr="00FE2FCE" w:rsidRDefault="00FE0528" w:rsidP="00FE2FCE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 w:rsidRPr="008756C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(二)高齡長者常見的問題</w:t>
      </w:r>
      <w:bookmarkEnd w:id="6"/>
      <w:bookmarkEnd w:id="7"/>
    </w:p>
    <w:p w:rsidR="00AD5DE1" w:rsidRPr="00AD5DE1" w:rsidRDefault="00AD5DE1" w:rsidP="00D375A9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D5DE1">
        <w:rPr>
          <w:rFonts w:ascii="標楷體" w:eastAsia="標楷體" w:hAnsi="標楷體" w:hint="eastAsia"/>
          <w:sz w:val="28"/>
          <w:szCs w:val="28"/>
        </w:rPr>
        <w:t>澎湖長者除了人數增加，也面臨居住型態與照護模式的轉變。因子女外移及高齡照顧者增加，「</w:t>
      </w:r>
      <w:proofErr w:type="gramStart"/>
      <w:r w:rsidRPr="00AD5DE1">
        <w:rPr>
          <w:rFonts w:ascii="標楷體" w:eastAsia="標楷體" w:hAnsi="標楷體" w:hint="eastAsia"/>
          <w:sz w:val="28"/>
          <w:szCs w:val="28"/>
        </w:rPr>
        <w:t>雙老照</w:t>
      </w:r>
      <w:proofErr w:type="gramEnd"/>
      <w:r w:rsidRPr="00AD5DE1">
        <w:rPr>
          <w:rFonts w:ascii="標楷體" w:eastAsia="標楷體" w:hAnsi="標楷體" w:hint="eastAsia"/>
          <w:sz w:val="28"/>
          <w:szCs w:val="28"/>
        </w:rPr>
        <w:t>護」與隱性獨居現象日益顯著，直接影響其飲食規律與營養攝取。身處離島，食材來源與可近性受限，導致部分長者傾向選擇精緻、</w:t>
      </w:r>
      <w:proofErr w:type="gramStart"/>
      <w:r w:rsidRPr="00AD5DE1">
        <w:rPr>
          <w:rFonts w:ascii="標楷體" w:eastAsia="標楷體" w:hAnsi="標楷體" w:hint="eastAsia"/>
          <w:sz w:val="28"/>
          <w:szCs w:val="28"/>
        </w:rPr>
        <w:t>高鈉或低</w:t>
      </w:r>
      <w:proofErr w:type="gramEnd"/>
      <w:r w:rsidRPr="00AD5DE1">
        <w:rPr>
          <w:rFonts w:ascii="標楷體" w:eastAsia="標楷體" w:hAnsi="標楷體" w:hint="eastAsia"/>
          <w:sz w:val="28"/>
          <w:szCs w:val="28"/>
        </w:rPr>
        <w:t>營養密度的飲食，進一步加劇營養</w:t>
      </w:r>
      <w:proofErr w:type="gramStart"/>
      <w:r w:rsidRPr="00AD5DE1">
        <w:rPr>
          <w:rFonts w:ascii="標楷體" w:eastAsia="標楷體" w:hAnsi="標楷體" w:hint="eastAsia"/>
          <w:sz w:val="28"/>
          <w:szCs w:val="28"/>
        </w:rPr>
        <w:t>不均的風險</w:t>
      </w:r>
      <w:proofErr w:type="gramEnd"/>
      <w:r w:rsidRPr="00AD5DE1">
        <w:rPr>
          <w:rFonts w:ascii="標楷體" w:eastAsia="標楷體" w:hAnsi="標楷體" w:hint="eastAsia"/>
          <w:sz w:val="28"/>
          <w:szCs w:val="28"/>
        </w:rPr>
        <w:t>。儘管政府已設立社區營養推廣中心並結合衛生所及長照服務，但長者普遍教育程度較低，使得營養知識的吸收與實踐存在明顯落差。</w:t>
      </w:r>
    </w:p>
    <w:p w:rsidR="00AD5DE1" w:rsidRPr="00AD5DE1" w:rsidRDefault="00AD5DE1" w:rsidP="00D375A9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D5DE1">
        <w:rPr>
          <w:rFonts w:ascii="標楷體" w:eastAsia="標楷體" w:hAnsi="標楷體" w:hint="eastAsia"/>
          <w:sz w:val="28"/>
          <w:szCs w:val="28"/>
        </w:rPr>
        <w:t>為協助民眾建立正確營養觀念，國民</w:t>
      </w:r>
      <w:proofErr w:type="gramStart"/>
      <w:r w:rsidRPr="00AD5DE1">
        <w:rPr>
          <w:rFonts w:ascii="標楷體" w:eastAsia="標楷體" w:hAnsi="標楷體" w:hint="eastAsia"/>
          <w:sz w:val="28"/>
          <w:szCs w:val="28"/>
        </w:rPr>
        <w:t>健康署</w:t>
      </w:r>
      <w:proofErr w:type="gramEnd"/>
      <w:r w:rsidRPr="00AD5DE1">
        <w:rPr>
          <w:rFonts w:ascii="標楷體" w:eastAsia="標楷體" w:hAnsi="標楷體" w:hint="eastAsia"/>
          <w:sz w:val="28"/>
          <w:szCs w:val="28"/>
        </w:rPr>
        <w:t>自2017年起推動社區營養衛生教育，鼓勵營養師走入社區提供服務，並於2018年在全國各縣市設立「社區營養推廣中心」。這些中心以社區長者為主要對象，提供多項服務，包含：當地居民營養問題分析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AD5DE1">
        <w:rPr>
          <w:rFonts w:ascii="標楷體" w:eastAsia="標楷體" w:hAnsi="標楷體" w:hint="eastAsia"/>
          <w:sz w:val="28"/>
          <w:szCs w:val="28"/>
        </w:rPr>
        <w:t>長者營養風險篩檢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AD5DE1">
        <w:rPr>
          <w:rFonts w:ascii="標楷體" w:eastAsia="標楷體" w:hAnsi="標楷體" w:hint="eastAsia"/>
          <w:sz w:val="28"/>
          <w:szCs w:val="28"/>
        </w:rPr>
        <w:t>個別營養評估及諮詢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AD5DE1">
        <w:rPr>
          <w:rFonts w:ascii="標楷體" w:eastAsia="標楷體" w:hAnsi="標楷體" w:hint="eastAsia"/>
          <w:sz w:val="28"/>
          <w:szCs w:val="28"/>
        </w:rPr>
        <w:t>營養教育及健康飲食宣導</w:t>
      </w:r>
      <w:r w:rsidR="00D375A9">
        <w:rPr>
          <w:rFonts w:ascii="標楷體" w:eastAsia="標楷體" w:hAnsi="標楷體" w:hint="eastAsia"/>
          <w:sz w:val="28"/>
          <w:szCs w:val="28"/>
        </w:rPr>
        <w:t>、</w:t>
      </w:r>
      <w:r w:rsidRPr="00AD5DE1">
        <w:rPr>
          <w:rFonts w:ascii="標楷體" w:eastAsia="標楷體" w:hAnsi="標楷體" w:hint="eastAsia"/>
          <w:sz w:val="28"/>
          <w:szCs w:val="28"/>
        </w:rPr>
        <w:t>社區營養照護人才培訓</w:t>
      </w:r>
      <w:r w:rsidR="00D375A9">
        <w:rPr>
          <w:rFonts w:ascii="標楷體" w:eastAsia="標楷體" w:hAnsi="標楷體" w:hint="eastAsia"/>
          <w:sz w:val="28"/>
          <w:szCs w:val="28"/>
        </w:rPr>
        <w:t>和</w:t>
      </w:r>
      <w:r w:rsidRPr="00AD5DE1">
        <w:rPr>
          <w:rFonts w:ascii="標楷體" w:eastAsia="標楷體" w:hAnsi="標楷體" w:hint="eastAsia"/>
          <w:sz w:val="28"/>
          <w:szCs w:val="28"/>
        </w:rPr>
        <w:t>輔導共餐據點或社區餐飲業提供高齡友善健康飲食</w:t>
      </w:r>
      <w:r w:rsidR="00D375A9">
        <w:rPr>
          <w:rFonts w:ascii="標楷體" w:eastAsia="標楷體" w:hAnsi="標楷體" w:hint="eastAsia"/>
          <w:sz w:val="28"/>
          <w:szCs w:val="28"/>
        </w:rPr>
        <w:t>。</w:t>
      </w:r>
    </w:p>
    <w:p w:rsidR="00FE2FCE" w:rsidRDefault="00AD5DE1" w:rsidP="00D375A9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proofErr w:type="gramStart"/>
      <w:r w:rsidRPr="00AD5DE1">
        <w:rPr>
          <w:rFonts w:ascii="標楷體" w:eastAsia="標楷體" w:hAnsi="標楷體" w:hint="eastAsia"/>
          <w:sz w:val="28"/>
          <w:szCs w:val="28"/>
        </w:rPr>
        <w:t>此外，</w:t>
      </w:r>
      <w:proofErr w:type="gramEnd"/>
      <w:r w:rsidRPr="00AD5DE1">
        <w:rPr>
          <w:rFonts w:ascii="標楷體" w:eastAsia="標楷體" w:hAnsi="標楷體" w:hint="eastAsia"/>
          <w:sz w:val="28"/>
          <w:szCs w:val="28"/>
        </w:rPr>
        <w:t>也鼓勵偏遠地區成立分中心，並與衛生所、基層醫療和社區組織結盟，旨在提升社區民眾</w:t>
      </w:r>
      <w:proofErr w:type="gramStart"/>
      <w:r w:rsidRPr="00AD5DE1">
        <w:rPr>
          <w:rFonts w:ascii="標楷體" w:eastAsia="標楷體" w:hAnsi="標楷體" w:hint="eastAsia"/>
          <w:sz w:val="28"/>
          <w:szCs w:val="28"/>
        </w:rPr>
        <w:t>營養識能</w:t>
      </w:r>
      <w:proofErr w:type="gramEnd"/>
      <w:r w:rsidRPr="00AD5DE1">
        <w:rPr>
          <w:rFonts w:ascii="標楷體" w:eastAsia="標楷體" w:hAnsi="標楷體" w:hint="eastAsia"/>
          <w:sz w:val="28"/>
          <w:szCs w:val="28"/>
        </w:rPr>
        <w:t>，進而改善個人與群體營養狀態，達成預防疾病、延緩衰弱及促進健康生活之目標。</w:t>
      </w:r>
      <w:bookmarkStart w:id="8" w:name="_Toc198200895"/>
      <w:bookmarkStart w:id="9" w:name="_Toc198202167"/>
    </w:p>
    <w:p w:rsidR="007955DF" w:rsidRDefault="007955DF" w:rsidP="00D375A9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7955DF" w:rsidRDefault="007955DF" w:rsidP="00D375A9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E17570" w:rsidRDefault="00E17570" w:rsidP="00D375A9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FE2FCE" w:rsidRDefault="008756CE" w:rsidP="00FE2FCE">
      <w:pPr>
        <w:spacing w:after="0" w:line="46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參、</w:t>
      </w:r>
      <w:r w:rsidRPr="008756CE">
        <w:rPr>
          <w:rFonts w:ascii="標楷體" w:eastAsia="標楷體" w:hAnsi="標楷體" w:hint="eastAsia"/>
          <w:b/>
          <w:bCs/>
          <w:sz w:val="28"/>
          <w:szCs w:val="28"/>
        </w:rPr>
        <w:t>澎湖縣</w:t>
      </w:r>
      <w:r w:rsidR="00314E19">
        <w:rPr>
          <w:rFonts w:ascii="標楷體" w:eastAsia="標楷體" w:hAnsi="標楷體" w:hint="eastAsia"/>
          <w:b/>
          <w:bCs/>
          <w:sz w:val="28"/>
          <w:szCs w:val="28"/>
        </w:rPr>
        <w:t>112年</w:t>
      </w:r>
      <w:r w:rsidRPr="008756CE">
        <w:rPr>
          <w:rFonts w:ascii="標楷體" w:eastAsia="標楷體" w:hAnsi="標楷體" w:hint="eastAsia"/>
          <w:b/>
          <w:bCs/>
          <w:sz w:val="28"/>
          <w:szCs w:val="28"/>
        </w:rPr>
        <w:t>長者健康飲食認知分析</w:t>
      </w:r>
      <w:bookmarkStart w:id="10" w:name="_Toc198200896"/>
      <w:bookmarkStart w:id="11" w:name="_Toc198202168"/>
      <w:bookmarkEnd w:id="8"/>
      <w:bookmarkEnd w:id="9"/>
    </w:p>
    <w:p w:rsidR="0066586C" w:rsidRPr="00FE2FCE" w:rsidRDefault="0066586C" w:rsidP="00FE2FCE">
      <w:pPr>
        <w:spacing w:after="0" w:line="460" w:lineRule="exact"/>
        <w:ind w:firstLineChars="50" w:firstLine="140"/>
        <w:rPr>
          <w:rFonts w:ascii="標楷體" w:eastAsia="標楷體" w:hAnsi="標楷體"/>
          <w:sz w:val="28"/>
          <w:szCs w:val="28"/>
        </w:rPr>
      </w:pPr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(</w:t>
      </w:r>
      <w:proofErr w:type="gramStart"/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一</w:t>
      </w:r>
      <w:proofErr w:type="gramEnd"/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)營養認知問卷調查分析</w:t>
      </w:r>
      <w:bookmarkEnd w:id="10"/>
      <w:bookmarkEnd w:id="11"/>
    </w:p>
    <w:p w:rsidR="00FE2FCE" w:rsidRDefault="00614396" w:rsidP="00102166">
      <w:pPr>
        <w:spacing w:after="0" w:line="460" w:lineRule="exact"/>
        <w:ind w:leftChars="236" w:left="566" w:firstLineChars="200" w:firstLine="560"/>
        <w:rPr>
          <w:rFonts w:ascii="標楷體" w:eastAsia="標楷體" w:hAnsi="標楷體"/>
          <w:sz w:val="28"/>
          <w:szCs w:val="28"/>
        </w:rPr>
      </w:pPr>
      <w:r w:rsidRPr="00614396">
        <w:rPr>
          <w:rFonts w:ascii="標楷體" w:eastAsia="標楷體" w:hAnsi="標楷體" w:hint="eastAsia"/>
          <w:sz w:val="28"/>
          <w:szCs w:val="28"/>
        </w:rPr>
        <w:t>為進一步掌握澎湖縣高齡者對健康飲食知識的實際掌握情況，本研究採用國民</w:t>
      </w:r>
      <w:proofErr w:type="gramStart"/>
      <w:r w:rsidRPr="00614396">
        <w:rPr>
          <w:rFonts w:ascii="標楷體" w:eastAsia="標楷體" w:hAnsi="標楷體" w:hint="eastAsia"/>
          <w:sz w:val="28"/>
          <w:szCs w:val="28"/>
        </w:rPr>
        <w:t>健康署</w:t>
      </w:r>
      <w:proofErr w:type="gramEnd"/>
      <w:r w:rsidRPr="00614396">
        <w:rPr>
          <w:rFonts w:ascii="標楷體" w:eastAsia="標楷體" w:hAnsi="標楷體" w:hint="eastAsia"/>
          <w:sz w:val="28"/>
          <w:szCs w:val="28"/>
        </w:rPr>
        <w:t>設計之「社區長者飲食營養問卷」進行調查，於馬公市、湖西鄉、白沙鄉、西嶼鄉共回收440份有效問卷，涵蓋65歲以上高齡者</w:t>
      </w:r>
      <w:r w:rsidR="00166C1A">
        <w:rPr>
          <w:rFonts w:ascii="標楷體" w:eastAsia="標楷體" w:hAnsi="標楷體" w:hint="eastAsia"/>
          <w:sz w:val="28"/>
          <w:szCs w:val="28"/>
        </w:rPr>
        <w:t>，以1</w:t>
      </w:r>
      <w:r w:rsidRPr="00614396">
        <w:rPr>
          <w:rFonts w:ascii="標楷體" w:eastAsia="標楷體" w:hAnsi="標楷體" w:hint="eastAsia"/>
          <w:sz w:val="28"/>
          <w:szCs w:val="28"/>
        </w:rPr>
        <w:t>0題</w:t>
      </w:r>
      <w:r w:rsidR="00166C1A">
        <w:rPr>
          <w:rFonts w:ascii="標楷體" w:eastAsia="標楷體" w:hAnsi="標楷體" w:hint="eastAsia"/>
          <w:sz w:val="28"/>
          <w:szCs w:val="28"/>
        </w:rPr>
        <w:t>問題</w:t>
      </w:r>
      <w:r w:rsidRPr="00614396">
        <w:rPr>
          <w:rFonts w:ascii="標楷體" w:eastAsia="標楷體" w:hAnsi="標楷體" w:hint="eastAsia"/>
          <w:sz w:val="28"/>
          <w:szCs w:val="28"/>
        </w:rPr>
        <w:t>針對基本營養知識進行評估，分析結果顯示，整體答對率雖有一定水準，但仍存明顯認知落差，且題目間答對率差異顯著，反映出特定營養主題的學習盲點。</w:t>
      </w:r>
      <w:bookmarkStart w:id="12" w:name="_Toc198200897"/>
      <w:bookmarkStart w:id="13" w:name="_Toc198202169"/>
    </w:p>
    <w:p w:rsidR="00A02612" w:rsidRPr="00FE2FCE" w:rsidRDefault="00234F6F" w:rsidP="00FE2FCE">
      <w:pPr>
        <w:spacing w:after="0" w:line="460" w:lineRule="exact"/>
        <w:ind w:firstLineChars="50" w:firstLine="140"/>
        <w:rPr>
          <w:rFonts w:ascii="標楷體" w:eastAsia="標楷體" w:hAnsi="標楷體"/>
          <w:sz w:val="28"/>
          <w:szCs w:val="28"/>
        </w:rPr>
      </w:pPr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(二)</w:t>
      </w:r>
      <w:r w:rsidR="0088250F"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長者營養</w:t>
      </w:r>
      <w:r w:rsidR="00BF6B75"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整體答對率概況</w:t>
      </w:r>
      <w:bookmarkEnd w:id="12"/>
      <w:bookmarkEnd w:id="13"/>
    </w:p>
    <w:tbl>
      <w:tblPr>
        <w:tblStyle w:val="1-31"/>
        <w:tblW w:w="8897" w:type="dxa"/>
        <w:tblLook w:val="04A0"/>
      </w:tblPr>
      <w:tblGrid>
        <w:gridCol w:w="817"/>
        <w:gridCol w:w="3544"/>
        <w:gridCol w:w="1134"/>
        <w:gridCol w:w="3402"/>
      </w:tblGrid>
      <w:tr w:rsidR="006E631A" w:rsidRPr="002816EB" w:rsidTr="00FE57D3">
        <w:trPr>
          <w:cnfStyle w:val="100000000000"/>
        </w:trPr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題號</w:t>
            </w:r>
          </w:p>
        </w:tc>
        <w:tc>
          <w:tcPr>
            <w:tcW w:w="3544" w:type="dxa"/>
          </w:tcPr>
          <w:p w:rsidR="006E631A" w:rsidRPr="002816EB" w:rsidRDefault="006E631A" w:rsidP="002816EB">
            <w:pPr>
              <w:spacing w:line="460" w:lineRule="exact"/>
              <w:cnfStyle w:val="1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題目簡述</w:t>
            </w:r>
          </w:p>
        </w:tc>
        <w:tc>
          <w:tcPr>
            <w:tcW w:w="1134" w:type="dxa"/>
          </w:tcPr>
          <w:p w:rsidR="006E631A" w:rsidRPr="002816EB" w:rsidRDefault="006E631A" w:rsidP="002816EB">
            <w:pPr>
              <w:spacing w:line="460" w:lineRule="exact"/>
              <w:cnfStyle w:val="1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答對率 (%)</w:t>
            </w:r>
          </w:p>
        </w:tc>
        <w:tc>
          <w:tcPr>
            <w:tcW w:w="3402" w:type="dxa"/>
          </w:tcPr>
          <w:p w:rsidR="006E631A" w:rsidRPr="002816EB" w:rsidRDefault="006E631A" w:rsidP="002816EB">
            <w:pPr>
              <w:spacing w:line="460" w:lineRule="exact"/>
              <w:cnfStyle w:val="1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分析建議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Q1</w:t>
            </w:r>
          </w:p>
        </w:tc>
        <w:tc>
          <w:tcPr>
            <w:tcW w:w="3544" w:type="dxa"/>
          </w:tcPr>
          <w:p w:rsidR="006E631A" w:rsidRPr="002816EB" w:rsidRDefault="006E631A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1.下列哪一道餐點組合，較符合健康均衡飲食原則？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E631A" w:rsidRPr="002816EB">
              <w:rPr>
                <w:rFonts w:ascii="標楷體" w:eastAsia="標楷體" w:hAnsi="標楷體" w:hint="eastAsia"/>
                <w:sz w:val="28"/>
                <w:szCs w:val="28"/>
              </w:rPr>
              <w:t>1稀飯+豆腐乳+醬瓜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E631A" w:rsidRPr="002816EB">
              <w:rPr>
                <w:rFonts w:ascii="標楷體" w:eastAsia="標楷體" w:hAnsi="標楷體" w:hint="eastAsia"/>
                <w:sz w:val="28"/>
                <w:szCs w:val="28"/>
              </w:rPr>
              <w:t>2乾麵+蛋花湯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E631A" w:rsidRPr="002816EB">
              <w:rPr>
                <w:rFonts w:ascii="標楷體" w:eastAsia="標楷體" w:hAnsi="標楷體" w:hint="eastAsia"/>
                <w:sz w:val="28"/>
                <w:szCs w:val="28"/>
              </w:rPr>
              <w:t>3糙米飯+清蒸魚+炒青菜</w:t>
            </w:r>
          </w:p>
        </w:tc>
        <w:tc>
          <w:tcPr>
            <w:tcW w:w="1134" w:type="dxa"/>
          </w:tcPr>
          <w:p w:rsidR="006E631A" w:rsidRPr="002816EB" w:rsidRDefault="006E631A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92.7%</w:t>
            </w:r>
          </w:p>
        </w:tc>
        <w:tc>
          <w:tcPr>
            <w:tcW w:w="3402" w:type="dxa"/>
          </w:tcPr>
          <w:p w:rsidR="006E631A" w:rsidRPr="002816EB" w:rsidRDefault="0015399E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糙米飯+清蒸魚+炒青菜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基本健康飲食組合，多數長者答對，顯示基本</w:t>
            </w:r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營養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均衡概念已具備。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Q2</w:t>
            </w:r>
          </w:p>
        </w:tc>
        <w:tc>
          <w:tcPr>
            <w:tcW w:w="3544" w:type="dxa"/>
          </w:tcPr>
          <w:p w:rsidR="00361FA0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2.每餐建議攝取1個拳頭大小的水果，您認為在一餐中，蔬菜和水果的比例，怎麼吃比較健康？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1一樣多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2蔬菜比水果多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3水果比蔬菜多</w:t>
            </w:r>
          </w:p>
        </w:tc>
        <w:tc>
          <w:tcPr>
            <w:tcW w:w="1134" w:type="dxa"/>
          </w:tcPr>
          <w:p w:rsidR="006E631A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77.7%</w:t>
            </w:r>
          </w:p>
        </w:tc>
        <w:tc>
          <w:tcPr>
            <w:tcW w:w="3402" w:type="dxa"/>
          </w:tcPr>
          <w:p w:rsidR="006E631A" w:rsidRPr="002816EB" w:rsidRDefault="0015399E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蔬菜比水果多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本題探討蔬果攝取比例，部分長者</w:t>
            </w:r>
            <w:proofErr w:type="gramStart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可能仍誤以為</w:t>
            </w:r>
            <w:proofErr w:type="gramEnd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「蔬</w:t>
            </w:r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菜與水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果</w:t>
            </w:r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一樣多就耗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」，顯示對於「蔬菜應多於水果」的營養觀念掌握不足。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Q3</w:t>
            </w:r>
          </w:p>
        </w:tc>
        <w:tc>
          <w:tcPr>
            <w:tcW w:w="3544" w:type="dxa"/>
          </w:tcPr>
          <w:p w:rsidR="00361FA0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您認為在一餐中，</w:t>
            </w: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豆魚蛋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肉類食物要吃多少個「手掌心（不含手指頭）」大小的份量，會比較健康？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1半個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2 1個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3 2個</w:t>
            </w:r>
          </w:p>
        </w:tc>
        <w:tc>
          <w:tcPr>
            <w:tcW w:w="1134" w:type="dxa"/>
          </w:tcPr>
          <w:p w:rsidR="006E631A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84.3%</w:t>
            </w:r>
          </w:p>
        </w:tc>
        <w:tc>
          <w:tcPr>
            <w:tcW w:w="3402" w:type="dxa"/>
          </w:tcPr>
          <w:p w:rsidR="006E631A" w:rsidRPr="002816EB" w:rsidRDefault="0015399E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1個手掌心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評估</w:t>
            </w:r>
            <w:proofErr w:type="gramStart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豆魚蛋</w:t>
            </w:r>
            <w:proofErr w:type="gramEnd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肉類建議攝取量，雖有八成答對，但仍可藉由圖示加強「掌心大小」的實際辨識與操作。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Q4</w:t>
            </w:r>
          </w:p>
        </w:tc>
        <w:tc>
          <w:tcPr>
            <w:tcW w:w="3544" w:type="dxa"/>
          </w:tcPr>
          <w:p w:rsidR="00361FA0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全</w:t>
            </w: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穀雜糧類常稱為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「主食類」，可以提供熱量及多項營養素。下列哪一種主食是較佳的選擇？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1白飯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2拉麵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3紫米飯</w:t>
            </w:r>
          </w:p>
        </w:tc>
        <w:tc>
          <w:tcPr>
            <w:tcW w:w="1134" w:type="dxa"/>
          </w:tcPr>
          <w:p w:rsidR="006E631A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84.8%</w:t>
            </w:r>
          </w:p>
        </w:tc>
        <w:tc>
          <w:tcPr>
            <w:tcW w:w="3402" w:type="dxa"/>
          </w:tcPr>
          <w:p w:rsidR="006E631A" w:rsidRPr="002816EB" w:rsidRDefault="0015399E" w:rsidP="001C50E1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紫米飯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，探討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主食選擇，部分長者</w:t>
            </w:r>
            <w:proofErr w:type="gramStart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可能對紫米</w:t>
            </w:r>
            <w:proofErr w:type="gramEnd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、白飯等全</w:t>
            </w:r>
            <w:proofErr w:type="gramStart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穀</w:t>
            </w:r>
            <w:proofErr w:type="gramEnd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定義不明確，建議提供實</w:t>
            </w:r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體食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物照片</w:t>
            </w:r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讓長者更易理解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Q5</w:t>
            </w:r>
          </w:p>
        </w:tc>
        <w:tc>
          <w:tcPr>
            <w:tcW w:w="3544" w:type="dxa"/>
          </w:tcPr>
          <w:p w:rsidR="00361FA0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攝取足夠膳食纖維對於排便很重要。下列哪一類食物含有較豐富的膳食纖維，可以促進排便？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1蛋類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2海鮮類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3未精製全</w:t>
            </w:r>
            <w:proofErr w:type="gramStart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穀</w:t>
            </w:r>
            <w:proofErr w:type="gramEnd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雜糧類</w:t>
            </w:r>
          </w:p>
        </w:tc>
        <w:tc>
          <w:tcPr>
            <w:tcW w:w="1134" w:type="dxa"/>
          </w:tcPr>
          <w:p w:rsidR="006E631A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93.2%</w:t>
            </w:r>
          </w:p>
        </w:tc>
        <w:tc>
          <w:tcPr>
            <w:tcW w:w="3402" w:type="dxa"/>
          </w:tcPr>
          <w:p w:rsidR="006E631A" w:rsidRPr="002816EB" w:rsidRDefault="0015399E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未精製全</w:t>
            </w: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穀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雜糧類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對膳食纖維食物辨識正確率高，顯示推廣成效良好。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Q6</w:t>
            </w:r>
          </w:p>
        </w:tc>
        <w:tc>
          <w:tcPr>
            <w:tcW w:w="3544" w:type="dxa"/>
          </w:tcPr>
          <w:p w:rsidR="00361FA0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隨著年齡增加，身體肌肉可能逐漸流失。建議每餐都充足攝取下列哪一類食物，對於減少肌肉的流失現象，能有幫助？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proofErr w:type="gramStart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豆魚蛋</w:t>
            </w:r>
            <w:proofErr w:type="gramEnd"/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肉類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2油脂類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3蔬菜類</w:t>
            </w:r>
          </w:p>
        </w:tc>
        <w:tc>
          <w:tcPr>
            <w:tcW w:w="1134" w:type="dxa"/>
          </w:tcPr>
          <w:p w:rsidR="006E631A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83.4%</w:t>
            </w:r>
          </w:p>
        </w:tc>
        <w:tc>
          <w:tcPr>
            <w:tcW w:w="3402" w:type="dxa"/>
          </w:tcPr>
          <w:p w:rsidR="006E631A" w:rsidRPr="002816EB" w:rsidRDefault="0015399E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豆魚蛋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肉類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A02612" w:rsidRPr="002816EB">
              <w:rPr>
                <w:rFonts w:ascii="標楷體" w:eastAsia="標楷體" w:hAnsi="標楷體" w:hint="eastAsia"/>
                <w:sz w:val="28"/>
                <w:szCs w:val="28"/>
              </w:rPr>
              <w:t>高齡者普遍了解蛋白質重要性。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Q7</w:t>
            </w:r>
          </w:p>
        </w:tc>
        <w:tc>
          <w:tcPr>
            <w:tcW w:w="3544" w:type="dxa"/>
          </w:tcPr>
          <w:p w:rsidR="00361FA0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油脂是提供人體所需熱量的重要來源之</w:t>
            </w: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。下列哪一種油，對心血管健康而言是較佳的選擇？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1豬油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2沙拉油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3椰子油</w:t>
            </w:r>
          </w:p>
        </w:tc>
        <w:tc>
          <w:tcPr>
            <w:tcW w:w="1134" w:type="dxa"/>
          </w:tcPr>
          <w:p w:rsidR="006E631A" w:rsidRPr="002816EB" w:rsidRDefault="006E631A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5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8.4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%</w:t>
            </w:r>
          </w:p>
        </w:tc>
        <w:tc>
          <w:tcPr>
            <w:tcW w:w="3402" w:type="dxa"/>
          </w:tcPr>
          <w:p w:rsidR="006E631A" w:rsidRPr="002816EB" w:rsidRDefault="0015399E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沙拉油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本題答對率最低，</w:t>
            </w:r>
            <w:r w:rsidR="00A02612" w:rsidRPr="002816EB">
              <w:rPr>
                <w:rFonts w:ascii="標楷體" w:eastAsia="標楷體" w:hAnsi="標楷體" w:hint="eastAsia"/>
                <w:sz w:val="28"/>
                <w:szCs w:val="28"/>
              </w:rPr>
              <w:t>訪問結果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多數長者可能</w:t>
            </w:r>
            <w:r w:rsidR="00A02612" w:rsidRPr="002816EB">
              <w:rPr>
                <w:rFonts w:ascii="標楷體" w:eastAsia="標楷體" w:hAnsi="標楷體" w:hint="eastAsia"/>
                <w:sz w:val="28"/>
                <w:szCs w:val="28"/>
              </w:rPr>
              <w:t>知曉植物油為</w:t>
            </w:r>
            <w:proofErr w:type="gramStart"/>
            <w:r w:rsidR="00A02612" w:rsidRPr="002816EB">
              <w:rPr>
                <w:rFonts w:ascii="標楷體" w:eastAsia="標楷體" w:hAnsi="標楷體" w:hint="eastAsia"/>
                <w:sz w:val="28"/>
                <w:szCs w:val="28"/>
              </w:rPr>
              <w:t>好油並將</w:t>
            </w:r>
            <w:proofErr w:type="gramEnd"/>
            <w:r w:rsidR="00A02612" w:rsidRPr="002816EB">
              <w:rPr>
                <w:rFonts w:ascii="標楷體" w:eastAsia="標楷體" w:hAnsi="標楷體" w:hint="eastAsia"/>
                <w:sz w:val="28"/>
                <w:szCs w:val="28"/>
              </w:rPr>
              <w:t>「椰子油」或「橄欖油」混淆，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未清楚區分健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康油脂類型，建議加強油脂種類與健康影響的衛教說明。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Q8</w:t>
            </w:r>
          </w:p>
        </w:tc>
        <w:tc>
          <w:tcPr>
            <w:tcW w:w="3544" w:type="dxa"/>
          </w:tcPr>
          <w:p w:rsidR="00361FA0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碘是維持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身體正常代謝的必需營養素。請問如何挑選食鹽，較能避免碘攝取不足的問題？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1選擇進口鹽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2選擇包裝上標示「天然」字樣的食鹽，如：天然海鹽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3選擇包裝上標示「添加碘」字樣的食鹽</w:t>
            </w:r>
          </w:p>
        </w:tc>
        <w:tc>
          <w:tcPr>
            <w:tcW w:w="1134" w:type="dxa"/>
          </w:tcPr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66.1%</w:t>
            </w:r>
          </w:p>
        </w:tc>
        <w:tc>
          <w:tcPr>
            <w:tcW w:w="3402" w:type="dxa"/>
          </w:tcPr>
          <w:p w:rsidR="006E631A" w:rsidRPr="002816EB" w:rsidRDefault="0015399E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選擇包裝上標示「添加碘」字樣的食鹽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涉及含碘食鹽選擇，顯示部分長者可能未習慣查看食品標示，建議推廣「看標籤選食物」的實用技能。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Q9</w:t>
            </w:r>
          </w:p>
        </w:tc>
        <w:tc>
          <w:tcPr>
            <w:tcW w:w="3544" w:type="dxa"/>
          </w:tcPr>
          <w:p w:rsidR="00361FA0" w:rsidRPr="002816EB" w:rsidRDefault="00361FA0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在高血壓控制方面，飲食除了需要注意「鹽」的用量之外，下列哪一種調味品也應適量使用？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1五香</w:t>
            </w:r>
          </w:p>
          <w:p w:rsidR="00361FA0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2醬油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61FA0" w:rsidRPr="002816EB">
              <w:rPr>
                <w:rFonts w:ascii="標楷體" w:eastAsia="標楷體" w:hAnsi="標楷體" w:hint="eastAsia"/>
                <w:sz w:val="28"/>
                <w:szCs w:val="28"/>
              </w:rPr>
              <w:t>3白醋</w:t>
            </w:r>
          </w:p>
        </w:tc>
        <w:tc>
          <w:tcPr>
            <w:tcW w:w="1134" w:type="dxa"/>
          </w:tcPr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85%</w:t>
            </w:r>
          </w:p>
        </w:tc>
        <w:tc>
          <w:tcPr>
            <w:tcW w:w="3402" w:type="dxa"/>
          </w:tcPr>
          <w:p w:rsidR="006E631A" w:rsidRPr="002816EB" w:rsidRDefault="0015399E" w:rsidP="001C50E1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醬油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D04D9D" w:rsidRPr="002816EB">
              <w:rPr>
                <w:rFonts w:ascii="標楷體" w:eastAsia="標楷體" w:hAnsi="標楷體" w:hint="eastAsia"/>
                <w:sz w:val="28"/>
                <w:szCs w:val="28"/>
              </w:rPr>
              <w:t>高血壓與醬油</w:t>
            </w:r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的</w:t>
            </w:r>
            <w:r w:rsidR="00D04D9D" w:rsidRPr="002816EB">
              <w:rPr>
                <w:rFonts w:ascii="標楷體" w:eastAsia="標楷體" w:hAnsi="標楷體" w:hint="eastAsia"/>
                <w:sz w:val="28"/>
                <w:szCs w:val="28"/>
              </w:rPr>
              <w:t>使用</w:t>
            </w:r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相關性達對率</w:t>
            </w:r>
            <w:proofErr w:type="gramStart"/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8成</w:t>
            </w:r>
            <w:proofErr w:type="gramEnd"/>
            <w:r w:rsidR="001C50E1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="00D04D9D" w:rsidRPr="002816EB">
              <w:rPr>
                <w:rFonts w:ascii="標楷體" w:eastAsia="標楷體" w:hAnsi="標楷體" w:hint="eastAsia"/>
                <w:sz w:val="28"/>
                <w:szCs w:val="28"/>
              </w:rPr>
              <w:t>，顯示多數長者已具備減鈉意識。</w:t>
            </w:r>
          </w:p>
        </w:tc>
      </w:tr>
      <w:tr w:rsidR="006E631A" w:rsidRPr="002816EB" w:rsidTr="00FE57D3">
        <w:tc>
          <w:tcPr>
            <w:cnfStyle w:val="001000000000"/>
            <w:tcW w:w="817" w:type="dxa"/>
          </w:tcPr>
          <w:p w:rsidR="006E631A" w:rsidRPr="002816EB" w:rsidRDefault="006E63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Q10</w:t>
            </w:r>
          </w:p>
        </w:tc>
        <w:tc>
          <w:tcPr>
            <w:tcW w:w="3544" w:type="dxa"/>
          </w:tcPr>
          <w:p w:rsidR="00D04D9D" w:rsidRPr="002816EB" w:rsidRDefault="00D04D9D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對於牙口咀嚼功能較差的人，可以藉由改變食物質地（軟硬度）來改善進食問題。下列哪一種新鮮食材，可以與肉類一起醃漬，以達到較佳的軟化肉質效果，變得更容易食用？</w:t>
            </w:r>
          </w:p>
          <w:p w:rsidR="00D04D9D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D04D9D" w:rsidRPr="002816EB">
              <w:rPr>
                <w:rFonts w:ascii="標楷體" w:eastAsia="標楷體" w:hAnsi="標楷體" w:hint="eastAsia"/>
                <w:sz w:val="28"/>
                <w:szCs w:val="28"/>
              </w:rPr>
              <w:t>1鳳梨</w:t>
            </w:r>
          </w:p>
          <w:p w:rsidR="00D04D9D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D04D9D" w:rsidRPr="002816EB">
              <w:rPr>
                <w:rFonts w:ascii="標楷體" w:eastAsia="標楷體" w:hAnsi="標楷體" w:hint="eastAsia"/>
                <w:sz w:val="28"/>
                <w:szCs w:val="28"/>
              </w:rPr>
              <w:t xml:space="preserve">2芒果 </w:t>
            </w:r>
          </w:p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D04D9D" w:rsidRPr="002816EB">
              <w:rPr>
                <w:rFonts w:ascii="標楷體" w:eastAsia="標楷體" w:hAnsi="標楷體" w:hint="eastAsia"/>
                <w:sz w:val="28"/>
                <w:szCs w:val="28"/>
              </w:rPr>
              <w:t>3荔枝</w:t>
            </w:r>
          </w:p>
        </w:tc>
        <w:tc>
          <w:tcPr>
            <w:tcW w:w="1134" w:type="dxa"/>
          </w:tcPr>
          <w:p w:rsidR="006E631A" w:rsidRPr="002816EB" w:rsidRDefault="008E4C31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93%</w:t>
            </w:r>
          </w:p>
        </w:tc>
        <w:tc>
          <w:tcPr>
            <w:tcW w:w="3402" w:type="dxa"/>
          </w:tcPr>
          <w:p w:rsidR="006E631A" w:rsidRPr="002816EB" w:rsidRDefault="0015399E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答案：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鳳梨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D04D9D" w:rsidRPr="002816EB">
              <w:rPr>
                <w:rFonts w:ascii="標楷體" w:eastAsia="標楷體" w:hAnsi="標楷體" w:hint="eastAsia"/>
                <w:sz w:val="28"/>
                <w:szCs w:val="28"/>
              </w:rPr>
              <w:t>多數</w:t>
            </w:r>
            <w:r w:rsidR="00A02612" w:rsidRPr="002816EB">
              <w:rPr>
                <w:rFonts w:ascii="標楷體" w:eastAsia="標楷體" w:hAnsi="標楷體"/>
                <w:sz w:val="28"/>
                <w:szCs w:val="28"/>
              </w:rPr>
              <w:t>常見作法，認知正確率高</w:t>
            </w:r>
            <w:r w:rsidR="00A02612" w:rsidRPr="002816E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D04D9D" w:rsidRPr="002816EB">
              <w:rPr>
                <w:rFonts w:ascii="標楷體" w:eastAsia="標楷體" w:hAnsi="標楷體" w:hint="eastAsia"/>
                <w:sz w:val="28"/>
                <w:szCs w:val="28"/>
              </w:rPr>
              <w:t>長者知曉如何善用</w:t>
            </w:r>
            <w:r w:rsidR="00A02612" w:rsidRPr="002816EB">
              <w:rPr>
                <w:rFonts w:ascii="標楷體" w:eastAsia="標楷體" w:hAnsi="標楷體" w:hint="eastAsia"/>
                <w:sz w:val="28"/>
                <w:szCs w:val="28"/>
              </w:rPr>
              <w:t>肉類軟化技巧軟化肉類質地。</w:t>
            </w:r>
          </w:p>
        </w:tc>
      </w:tr>
    </w:tbl>
    <w:p w:rsidR="007955DF" w:rsidRDefault="007955DF" w:rsidP="007955DF">
      <w:pPr>
        <w:spacing w:after="0" w:line="460" w:lineRule="exact"/>
        <w:ind w:leftChars="118" w:left="283"/>
        <w:jc w:val="center"/>
        <w:rPr>
          <w:rFonts w:ascii="標楷體" w:eastAsia="標楷體" w:hAnsi="標楷體"/>
          <w:sz w:val="28"/>
          <w:szCs w:val="28"/>
        </w:rPr>
      </w:pPr>
      <w:bookmarkStart w:id="14" w:name="_Toc198200898"/>
      <w:bookmarkStart w:id="15" w:name="_Toc198202170"/>
      <w:r w:rsidRPr="002816EB">
        <w:rPr>
          <w:rFonts w:ascii="標楷體" w:eastAsia="標楷體" w:hAnsi="標楷體" w:hint="eastAsia"/>
          <w:sz w:val="28"/>
          <w:szCs w:val="28"/>
        </w:rPr>
        <w:lastRenderedPageBreak/>
        <w:t>表</w:t>
      </w:r>
      <w:r>
        <w:rPr>
          <w:rFonts w:ascii="標楷體" w:eastAsia="標楷體" w:hAnsi="標楷體" w:hint="eastAsia"/>
          <w:sz w:val="28"/>
          <w:szCs w:val="28"/>
        </w:rPr>
        <w:t>3.</w:t>
      </w:r>
      <w:r w:rsidRPr="002816EB">
        <w:rPr>
          <w:rFonts w:ascii="標楷體" w:eastAsia="標楷體" w:hAnsi="標楷體" w:hint="eastAsia"/>
          <w:sz w:val="28"/>
          <w:szCs w:val="28"/>
        </w:rPr>
        <w:t>澎湖縣</w:t>
      </w:r>
      <w:r w:rsidR="00D5453B">
        <w:rPr>
          <w:rFonts w:ascii="標楷體" w:eastAsia="標楷體" w:hAnsi="標楷體" w:hint="eastAsia"/>
          <w:sz w:val="28"/>
          <w:szCs w:val="28"/>
        </w:rPr>
        <w:t>112年營養認知問卷答對</w:t>
      </w:r>
      <w:r w:rsidR="00314E19">
        <w:rPr>
          <w:rFonts w:ascii="標楷體" w:eastAsia="標楷體" w:hAnsi="標楷體" w:hint="eastAsia"/>
          <w:sz w:val="28"/>
          <w:szCs w:val="28"/>
        </w:rPr>
        <w:t>錯</w:t>
      </w:r>
      <w:r w:rsidR="00D5453B">
        <w:rPr>
          <w:rFonts w:ascii="標楷體" w:eastAsia="標楷體" w:hAnsi="標楷體" w:hint="eastAsia"/>
          <w:sz w:val="28"/>
          <w:szCs w:val="28"/>
        </w:rPr>
        <w:t>人數</w:t>
      </w:r>
      <w:r w:rsidR="00314E19">
        <w:rPr>
          <w:rFonts w:ascii="標楷體" w:eastAsia="標楷體" w:hAnsi="標楷體" w:hint="eastAsia"/>
          <w:sz w:val="28"/>
          <w:szCs w:val="28"/>
        </w:rPr>
        <w:t>(答題人數440人)</w:t>
      </w:r>
    </w:p>
    <w:p w:rsidR="0015399E" w:rsidRPr="007955DF" w:rsidRDefault="00D5453B" w:rsidP="008F4E2B">
      <w:r>
        <w:rPr>
          <w:noProof/>
        </w:rPr>
        <w:drawing>
          <wp:inline distT="0" distB="0" distL="0" distR="0">
            <wp:extent cx="5274310" cy="3076575"/>
            <wp:effectExtent l="19050" t="0" r="21590" b="0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955DF" w:rsidRPr="008D7F06" w:rsidRDefault="008D7F06" w:rsidP="008F4E2B">
      <w:pPr>
        <w:rPr>
          <w:rFonts w:ascii="標楷體" w:eastAsia="標楷體" w:hAnsi="標楷體" w:cs="Times New Roman"/>
        </w:rPr>
      </w:pPr>
      <w:r w:rsidRPr="00E67D6E">
        <w:rPr>
          <w:rFonts w:ascii="標楷體" w:eastAsia="標楷體" w:hAnsi="標楷體" w:cs="Times New Roman"/>
        </w:rPr>
        <w:t>資料來源：澎湖縣112年長者營養認知問卷調查</w:t>
      </w:r>
    </w:p>
    <w:p w:rsidR="00A02612" w:rsidRPr="008F4E2B" w:rsidRDefault="00501AD9" w:rsidP="008F4E2B">
      <w:pPr>
        <w:pStyle w:val="af8"/>
        <w:rPr>
          <w:rFonts w:ascii="標楷體" w:eastAsia="標楷體" w:hAnsi="標楷體"/>
          <w:b/>
          <w:bCs/>
        </w:rPr>
      </w:pPr>
      <w:r w:rsidRPr="008F4E2B">
        <w:rPr>
          <w:rFonts w:ascii="標楷體" w:eastAsia="標楷體" w:hAnsi="標楷體" w:hint="eastAsia"/>
          <w:b/>
          <w:bCs/>
          <w:sz w:val="28"/>
          <w:szCs w:val="28"/>
        </w:rPr>
        <w:t>(三</w:t>
      </w:r>
      <w:proofErr w:type="gramStart"/>
      <w:r w:rsidR="00BF6B75" w:rsidRPr="008F4E2B">
        <w:rPr>
          <w:rFonts w:ascii="標楷體" w:eastAsia="標楷體" w:hAnsi="標楷體" w:hint="eastAsia"/>
          <w:b/>
          <w:bCs/>
          <w:sz w:val="28"/>
          <w:szCs w:val="28"/>
        </w:rPr>
        <w:t>）</w:t>
      </w:r>
      <w:proofErr w:type="gramEnd"/>
      <w:r w:rsidR="00A02612" w:rsidRPr="008F4E2B">
        <w:rPr>
          <w:rFonts w:ascii="標楷體" w:eastAsia="標楷體" w:hAnsi="標楷體" w:hint="eastAsia"/>
          <w:b/>
          <w:bCs/>
          <w:sz w:val="28"/>
          <w:szCs w:val="28"/>
        </w:rPr>
        <w:t>答對率較低題目分析與建議</w:t>
      </w:r>
      <w:bookmarkEnd w:id="14"/>
      <w:bookmarkEnd w:id="15"/>
    </w:p>
    <w:tbl>
      <w:tblPr>
        <w:tblStyle w:val="31"/>
        <w:tblW w:w="8755" w:type="dxa"/>
        <w:tblLook w:val="04A0"/>
      </w:tblPr>
      <w:tblGrid>
        <w:gridCol w:w="1101"/>
        <w:gridCol w:w="1559"/>
        <w:gridCol w:w="3118"/>
        <w:gridCol w:w="2977"/>
      </w:tblGrid>
      <w:tr w:rsidR="00975D1A" w:rsidRPr="002816EB" w:rsidTr="00E17570">
        <w:trPr>
          <w:cnfStyle w:val="100000000000"/>
        </w:trPr>
        <w:tc>
          <w:tcPr>
            <w:cnfStyle w:val="001000000100"/>
            <w:tcW w:w="1101" w:type="dxa"/>
          </w:tcPr>
          <w:p w:rsidR="00975D1A" w:rsidRPr="002816EB" w:rsidRDefault="00975D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題目</w:t>
            </w:r>
          </w:p>
        </w:tc>
        <w:tc>
          <w:tcPr>
            <w:tcW w:w="1559" w:type="dxa"/>
          </w:tcPr>
          <w:p w:rsidR="00975D1A" w:rsidRPr="002816EB" w:rsidRDefault="00975D1A" w:rsidP="002816EB">
            <w:pPr>
              <w:spacing w:line="460" w:lineRule="exact"/>
              <w:cnfStyle w:val="1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答對率</w:t>
            </w:r>
            <w:r w:rsidR="000A6577" w:rsidRPr="002816EB">
              <w:rPr>
                <w:rFonts w:ascii="標楷體" w:eastAsia="標楷體" w:hAnsi="標楷體" w:hint="eastAsia"/>
                <w:sz w:val="28"/>
                <w:szCs w:val="28"/>
              </w:rPr>
              <w:t>(%)</w:t>
            </w:r>
          </w:p>
        </w:tc>
        <w:tc>
          <w:tcPr>
            <w:tcW w:w="3118" w:type="dxa"/>
          </w:tcPr>
          <w:p w:rsidR="00975D1A" w:rsidRPr="002816EB" w:rsidRDefault="00975D1A" w:rsidP="00E17570">
            <w:pPr>
              <w:spacing w:line="460" w:lineRule="exact"/>
              <w:cnfStyle w:val="1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進一步原因分析</w:t>
            </w:r>
          </w:p>
        </w:tc>
        <w:tc>
          <w:tcPr>
            <w:tcW w:w="2977" w:type="dxa"/>
          </w:tcPr>
          <w:p w:rsidR="00975D1A" w:rsidRPr="002816EB" w:rsidRDefault="00975D1A" w:rsidP="002816EB">
            <w:pPr>
              <w:spacing w:line="460" w:lineRule="exact"/>
              <w:cnfStyle w:val="1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營養衛教面向</w:t>
            </w:r>
          </w:p>
        </w:tc>
      </w:tr>
      <w:tr w:rsidR="00975D1A" w:rsidRPr="002816EB" w:rsidTr="00E17570">
        <w:trPr>
          <w:cnfStyle w:val="000000100000"/>
        </w:trPr>
        <w:tc>
          <w:tcPr>
            <w:cnfStyle w:val="001000000000"/>
            <w:tcW w:w="1101" w:type="dxa"/>
          </w:tcPr>
          <w:p w:rsidR="00975D1A" w:rsidRPr="002816EB" w:rsidRDefault="000A6577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/>
                <w:sz w:val="28"/>
                <w:szCs w:val="28"/>
              </w:rPr>
              <w:t>Q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2：蔬菜與水果比例</w:t>
            </w:r>
          </w:p>
        </w:tc>
        <w:tc>
          <w:tcPr>
            <w:tcW w:w="1559" w:type="dxa"/>
          </w:tcPr>
          <w:p w:rsidR="00975D1A" w:rsidRPr="002816EB" w:rsidRDefault="000A6577" w:rsidP="002816EB">
            <w:pPr>
              <w:spacing w:line="460" w:lineRule="exact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77.7</w:t>
            </w:r>
          </w:p>
        </w:tc>
        <w:tc>
          <w:tcPr>
            <w:tcW w:w="3118" w:type="dxa"/>
          </w:tcPr>
          <w:p w:rsidR="00975D1A" w:rsidRPr="002816EB" w:rsidRDefault="000A6577" w:rsidP="002816EB">
            <w:pPr>
              <w:spacing w:line="460" w:lineRule="exact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誤以為蔬菜與水果的比例為一樣多，觀念仍有誤差。</w:t>
            </w:r>
          </w:p>
        </w:tc>
        <w:tc>
          <w:tcPr>
            <w:tcW w:w="2977" w:type="dxa"/>
          </w:tcPr>
          <w:p w:rsidR="00975D1A" w:rsidRPr="002816EB" w:rsidRDefault="000A6577" w:rsidP="002816EB">
            <w:pPr>
              <w:spacing w:line="460" w:lineRule="exact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加強社區宣導蔬菜與水果的比例搭配原則，以強調蔬菜的營養好處藉此提升攝取量。</w:t>
            </w:r>
          </w:p>
        </w:tc>
      </w:tr>
      <w:tr w:rsidR="00975D1A" w:rsidRPr="002816EB" w:rsidTr="00E17570">
        <w:tc>
          <w:tcPr>
            <w:cnfStyle w:val="001000000000"/>
            <w:tcW w:w="1101" w:type="dxa"/>
          </w:tcPr>
          <w:p w:rsidR="00975D1A" w:rsidRPr="002816EB" w:rsidRDefault="00975D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Q7：心血管健康用油選擇</w:t>
            </w:r>
          </w:p>
        </w:tc>
        <w:tc>
          <w:tcPr>
            <w:tcW w:w="1559" w:type="dxa"/>
          </w:tcPr>
          <w:p w:rsidR="00975D1A" w:rsidRPr="002816EB" w:rsidRDefault="00975D1A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58.4</w:t>
            </w:r>
          </w:p>
        </w:tc>
        <w:tc>
          <w:tcPr>
            <w:tcW w:w="3118" w:type="dxa"/>
          </w:tcPr>
          <w:p w:rsidR="00975D1A" w:rsidRPr="002816EB" w:rsidRDefault="00975D1A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長者多數認為植物油為好油，也將「椰子油」誤認為也是「植物油的好油」並不</w:t>
            </w: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清楚「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椰子油」為相較於沙拉油</w:t>
            </w: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來說是屬於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飽和脂肪酸比例較高的油脂。</w:t>
            </w:r>
          </w:p>
        </w:tc>
        <w:tc>
          <w:tcPr>
            <w:tcW w:w="2977" w:type="dxa"/>
          </w:tcPr>
          <w:p w:rsidR="00975D1A" w:rsidRPr="002816EB" w:rsidRDefault="000A6577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6B7AD1">
              <w:rPr>
                <w:rFonts w:ascii="標楷體" w:eastAsia="標楷體" w:hAnsi="標楷體" w:hint="eastAsia"/>
                <w:sz w:val="28"/>
                <w:szCs w:val="28"/>
              </w:rPr>
              <w:t>實際</w:t>
            </w:r>
            <w:r w:rsidR="00F6038C">
              <w:rPr>
                <w:rFonts w:ascii="標楷體" w:eastAsia="標楷體" w:hAnsi="標楷體" w:hint="eastAsia"/>
                <w:sz w:val="28"/>
                <w:szCs w:val="28"/>
              </w:rPr>
              <w:t>盤點民眾</w:t>
            </w:r>
            <w:r w:rsidR="006B7AD1">
              <w:rPr>
                <w:rFonts w:ascii="標楷體" w:eastAsia="標楷體" w:hAnsi="標楷體" w:hint="eastAsia"/>
                <w:sz w:val="28"/>
                <w:szCs w:val="28"/>
              </w:rPr>
              <w:t>家裡常用的油品</w:t>
            </w:r>
            <w:r w:rsidR="00975D1A" w:rsidRPr="002816E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F6038C">
              <w:rPr>
                <w:rFonts w:ascii="標楷體" w:eastAsia="標楷體" w:hAnsi="標楷體" w:hint="eastAsia"/>
                <w:sz w:val="28"/>
                <w:szCs w:val="28"/>
              </w:rPr>
              <w:t>認識其中的脂肪酸比例與種類</w:t>
            </w:r>
            <w:r w:rsidR="00975D1A" w:rsidRPr="002816E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75D1A" w:rsidRPr="002816EB" w:rsidRDefault="000A6577" w:rsidP="002816EB">
            <w:pPr>
              <w:spacing w:line="460" w:lineRule="exact"/>
              <w:cnfStyle w:val="0000000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975D1A" w:rsidRPr="002816EB">
              <w:rPr>
                <w:rFonts w:ascii="標楷體" w:eastAsia="標楷體" w:hAnsi="標楷體" w:hint="eastAsia"/>
                <w:sz w:val="28"/>
                <w:szCs w:val="28"/>
              </w:rPr>
              <w:t>製作圖卡輔助說明「好油／</w:t>
            </w:r>
            <w:proofErr w:type="gramStart"/>
            <w:r w:rsidR="00975D1A" w:rsidRPr="002816EB">
              <w:rPr>
                <w:rFonts w:ascii="標楷體" w:eastAsia="標楷體" w:hAnsi="標楷體" w:hint="eastAsia"/>
                <w:sz w:val="28"/>
                <w:szCs w:val="28"/>
              </w:rPr>
              <w:t>壞油</w:t>
            </w:r>
            <w:proofErr w:type="gramEnd"/>
            <w:r w:rsidR="00975D1A" w:rsidRPr="002816EB">
              <w:rPr>
                <w:rFonts w:ascii="標楷體" w:eastAsia="標楷體" w:hAnsi="標楷體" w:hint="eastAsia"/>
                <w:sz w:val="28"/>
                <w:szCs w:val="28"/>
              </w:rPr>
              <w:t>」概念，增加辨識力。</w:t>
            </w:r>
          </w:p>
        </w:tc>
      </w:tr>
      <w:tr w:rsidR="00975D1A" w:rsidRPr="002816EB" w:rsidTr="00E17570">
        <w:trPr>
          <w:cnfStyle w:val="000000100000"/>
        </w:trPr>
        <w:tc>
          <w:tcPr>
            <w:cnfStyle w:val="001000000000"/>
            <w:tcW w:w="1101" w:type="dxa"/>
          </w:tcPr>
          <w:p w:rsidR="00975D1A" w:rsidRPr="002816EB" w:rsidRDefault="00975D1A" w:rsidP="002816EB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Q8：挑選含碘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食鹽方式</w:t>
            </w:r>
          </w:p>
        </w:tc>
        <w:tc>
          <w:tcPr>
            <w:tcW w:w="1559" w:type="dxa"/>
          </w:tcPr>
          <w:p w:rsidR="00975D1A" w:rsidRPr="002816EB" w:rsidRDefault="00975D1A" w:rsidP="002816EB">
            <w:pPr>
              <w:spacing w:line="460" w:lineRule="exact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66.1</w:t>
            </w:r>
          </w:p>
        </w:tc>
        <w:tc>
          <w:tcPr>
            <w:tcW w:w="3118" w:type="dxa"/>
          </w:tcPr>
          <w:p w:rsidR="00975D1A" w:rsidRPr="002816EB" w:rsidRDefault="00975D1A" w:rsidP="002816EB">
            <w:pPr>
              <w:spacing w:line="460" w:lineRule="exact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包裝</w:t>
            </w:r>
            <w:proofErr w:type="gramStart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標示認讀能力</w:t>
            </w:r>
            <w:proofErr w:type="gramEnd"/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差，對「碘」用途不清。</w:t>
            </w:r>
          </w:p>
          <w:p w:rsidR="00975D1A" w:rsidRPr="002816EB" w:rsidRDefault="00975D1A" w:rsidP="002816EB">
            <w:pPr>
              <w:spacing w:line="460" w:lineRule="exact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容易與「天然海鹽」混淆，誤以為更健康。</w:t>
            </w:r>
          </w:p>
        </w:tc>
        <w:tc>
          <w:tcPr>
            <w:tcW w:w="2977" w:type="dxa"/>
          </w:tcPr>
          <w:p w:rsidR="00975D1A" w:rsidRPr="002816EB" w:rsidRDefault="00975D1A" w:rsidP="002816EB">
            <w:pPr>
              <w:spacing w:line="460" w:lineRule="exact"/>
              <w:cnfStyle w:val="000000100000"/>
              <w:rPr>
                <w:rFonts w:ascii="標楷體" w:eastAsia="標楷體" w:hAnsi="標楷體"/>
                <w:sz w:val="28"/>
                <w:szCs w:val="28"/>
              </w:rPr>
            </w:pP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增設</w:t>
            </w:r>
            <w:r w:rsidR="007534D5">
              <w:rPr>
                <w:rFonts w:ascii="標楷體" w:eastAsia="標楷體" w:hAnsi="標楷體" w:hint="eastAsia"/>
                <w:sz w:val="28"/>
                <w:szCs w:val="28"/>
              </w:rPr>
              <w:t>社區營養課程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t>圖文對照衛教板，說明標</w:t>
            </w:r>
            <w:r w:rsidRPr="002816E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示與健康關聯。</w:t>
            </w:r>
          </w:p>
        </w:tc>
      </w:tr>
    </w:tbl>
    <w:p w:rsidR="00BF6B75" w:rsidRPr="008756CE" w:rsidRDefault="00975D1A" w:rsidP="008D7F06">
      <w:pPr>
        <w:pStyle w:val="2"/>
        <w:spacing w:before="0" w:after="0" w:line="46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bookmarkStart w:id="16" w:name="_Toc198200899"/>
      <w:bookmarkStart w:id="17" w:name="_Toc198202171"/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(</w:t>
      </w:r>
      <w:r w:rsidR="00501AD9"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四</w:t>
      </w:r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)整</w:t>
      </w:r>
      <w:r w:rsidR="00501AD9"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體</w:t>
      </w:r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營養認知問卷</w:t>
      </w:r>
      <w:r w:rsidR="00501AD9"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設計的問題分析</w:t>
      </w:r>
      <w:bookmarkEnd w:id="16"/>
      <w:bookmarkEnd w:id="17"/>
    </w:p>
    <w:p w:rsidR="000A6577" w:rsidRPr="002816EB" w:rsidRDefault="00975D1A" w:rsidP="008D7F06">
      <w:pPr>
        <w:spacing w:after="0" w:line="460" w:lineRule="exact"/>
        <w:ind w:leftChars="177" w:left="708" w:hangingChars="101" w:hanging="283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1.</w:t>
      </w:r>
      <w:r w:rsidR="00BF6B75" w:rsidRPr="002816EB">
        <w:rPr>
          <w:rFonts w:ascii="標楷體" w:eastAsia="標楷體" w:hAnsi="標楷體" w:hint="eastAsia"/>
          <w:sz w:val="28"/>
          <w:szCs w:val="28"/>
        </w:rPr>
        <w:t>地方營養教育內容聚焦於基本健康飲食概念，較少深入特定食物種類差異說明</w:t>
      </w:r>
      <w:r w:rsidRPr="002816EB">
        <w:rPr>
          <w:rFonts w:ascii="標楷體" w:eastAsia="標楷體" w:hAnsi="標楷體" w:hint="eastAsia"/>
          <w:sz w:val="28"/>
          <w:szCs w:val="28"/>
        </w:rPr>
        <w:t>，如使用該問卷結果也較難呈現</w:t>
      </w:r>
      <w:r w:rsidR="000A6577" w:rsidRPr="002816EB">
        <w:rPr>
          <w:rFonts w:ascii="標楷體" w:eastAsia="標楷體" w:hAnsi="標楷體" w:hint="eastAsia"/>
          <w:sz w:val="28"/>
          <w:szCs w:val="28"/>
        </w:rPr>
        <w:t>在地長者營養認知狀況</w:t>
      </w:r>
      <w:r w:rsidR="008D7F06">
        <w:rPr>
          <w:rFonts w:ascii="標楷體" w:eastAsia="標楷體" w:hAnsi="標楷體" w:hint="eastAsia"/>
          <w:sz w:val="28"/>
          <w:szCs w:val="28"/>
        </w:rPr>
        <w:t>。</w:t>
      </w:r>
    </w:p>
    <w:p w:rsidR="00BF6B75" w:rsidRPr="002816EB" w:rsidRDefault="000A6577" w:rsidP="008D7F06">
      <w:pPr>
        <w:spacing w:after="0" w:line="460" w:lineRule="exact"/>
        <w:ind w:leftChars="177" w:left="708" w:hangingChars="101" w:hanging="283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2</w:t>
      </w:r>
      <w:r w:rsidR="00BF6B75" w:rsidRPr="002816EB">
        <w:rPr>
          <w:rFonts w:ascii="標楷體" w:eastAsia="標楷體" w:hAnsi="標楷體" w:hint="eastAsia"/>
          <w:sz w:val="28"/>
          <w:szCs w:val="28"/>
        </w:rPr>
        <w:t>認知落差集中於營養素來源辨識（如主食選擇、油脂類選擇）與具體飲食操作原則。</w:t>
      </w:r>
    </w:p>
    <w:p w:rsidR="00D130D1" w:rsidRDefault="008D7F06" w:rsidP="008D7F06">
      <w:pPr>
        <w:spacing w:after="0" w:line="460" w:lineRule="exact"/>
        <w:ind w:leftChars="177" w:left="708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0A6577" w:rsidRPr="002816EB">
        <w:rPr>
          <w:rFonts w:ascii="標楷體" w:eastAsia="標楷體" w:hAnsi="標楷體" w:hint="eastAsia"/>
          <w:sz w:val="28"/>
          <w:szCs w:val="28"/>
        </w:rPr>
        <w:t>高齡與教育程度偏低群體可能難以正確</w:t>
      </w:r>
      <w:proofErr w:type="gramStart"/>
      <w:r w:rsidR="000A6577" w:rsidRPr="002816EB">
        <w:rPr>
          <w:rFonts w:ascii="標楷體" w:eastAsia="標楷體" w:hAnsi="標楷體" w:hint="eastAsia"/>
          <w:sz w:val="28"/>
          <w:szCs w:val="28"/>
        </w:rPr>
        <w:t>區辨全穀類</w:t>
      </w:r>
      <w:proofErr w:type="gramEnd"/>
      <w:r w:rsidR="000A6577" w:rsidRPr="002816EB">
        <w:rPr>
          <w:rFonts w:ascii="標楷體" w:eastAsia="標楷體" w:hAnsi="標楷體" w:hint="eastAsia"/>
          <w:sz w:val="28"/>
          <w:szCs w:val="28"/>
        </w:rPr>
        <w:t>或健康油脂等專有名詞。</w:t>
      </w:r>
      <w:bookmarkStart w:id="18" w:name="_Toc198200900"/>
      <w:bookmarkStart w:id="19" w:name="_Toc198202172"/>
    </w:p>
    <w:p w:rsidR="00343F27" w:rsidRPr="00D130D1" w:rsidRDefault="00343F27" w:rsidP="00D130D1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(</w:t>
      </w:r>
      <w:r w:rsidR="00501AD9"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五</w:t>
      </w:r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)</w:t>
      </w:r>
      <w:r w:rsidR="008D5BAF" w:rsidRPr="008756CE">
        <w:rPr>
          <w:rFonts w:hint="eastAsia"/>
          <w:color w:val="000000" w:themeColor="text1"/>
        </w:rPr>
        <w:t xml:space="preserve"> </w:t>
      </w:r>
      <w:r w:rsidR="008D5BAF"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針對社區長者營養問題調查與政策推動情形</w:t>
      </w:r>
      <w:bookmarkEnd w:id="18"/>
      <w:bookmarkEnd w:id="19"/>
    </w:p>
    <w:p w:rsidR="0044560A" w:rsidRPr="0044560A" w:rsidRDefault="008D7F06" w:rsidP="001433C8">
      <w:pPr>
        <w:spacing w:after="0" w:line="460" w:lineRule="exact"/>
        <w:ind w:leftChars="177" w:left="425" w:firstLineChars="200" w:firstLine="560"/>
        <w:rPr>
          <w:rFonts w:ascii="標楷體" w:eastAsia="標楷體" w:hAnsi="標楷體"/>
          <w:sz w:val="28"/>
          <w:szCs w:val="28"/>
        </w:rPr>
      </w:pPr>
      <w:proofErr w:type="gramStart"/>
      <w:r w:rsidRPr="0044560A">
        <w:rPr>
          <w:rFonts w:ascii="標楷體" w:eastAsia="標楷體" w:hAnsi="標楷體" w:hint="eastAsia"/>
          <w:sz w:val="28"/>
          <w:szCs w:val="28"/>
        </w:rPr>
        <w:t>題項</w:t>
      </w:r>
      <w:r w:rsidR="00CF44AC">
        <w:rPr>
          <w:rFonts w:ascii="標楷體" w:eastAsia="標楷體" w:hAnsi="標楷體" w:hint="eastAsia"/>
          <w:sz w:val="28"/>
          <w:szCs w:val="28"/>
        </w:rPr>
        <w:t>為</w:t>
      </w:r>
      <w:proofErr w:type="gramEnd"/>
      <w:r w:rsidR="0044560A" w:rsidRPr="0044560A">
        <w:rPr>
          <w:rFonts w:ascii="標楷體" w:eastAsia="標楷體" w:hAnsi="標楷體" w:hint="eastAsia"/>
          <w:sz w:val="28"/>
          <w:szCs w:val="28"/>
        </w:rPr>
        <w:t>膳食纖維來源（答對率93.2%）、健康餐點組合（92.7%）與鳳梨軟化肉質（93.0%）</w:t>
      </w:r>
      <w:r>
        <w:rPr>
          <w:rFonts w:ascii="標楷體" w:eastAsia="標楷體" w:hAnsi="標楷體" w:hint="eastAsia"/>
          <w:sz w:val="28"/>
          <w:szCs w:val="28"/>
        </w:rPr>
        <w:t>的表現最佳</w:t>
      </w:r>
      <w:r w:rsidR="0044560A" w:rsidRPr="0044560A">
        <w:rPr>
          <w:rFonts w:ascii="標楷體" w:eastAsia="標楷體" w:hAnsi="標楷體" w:hint="eastAsia"/>
          <w:sz w:val="28"/>
          <w:szCs w:val="28"/>
        </w:rPr>
        <w:t>，顯示長者對基本健康餐食選擇與具體飲食經驗相關的題目較易掌握。而在表現較弱的題目中，以「心血管健康用油選擇」（58.4%）與「碘的攝取與食鹽選擇」（66.1%）答對率最低，顯示抽象的營養素分類與食品標示識別仍為長者學習的困難點。</w:t>
      </w:r>
      <w:proofErr w:type="gramStart"/>
      <w:r w:rsidR="0044560A" w:rsidRPr="0044560A">
        <w:rPr>
          <w:rFonts w:ascii="標楷體" w:eastAsia="標楷體" w:hAnsi="標楷體" w:hint="eastAsia"/>
          <w:sz w:val="28"/>
          <w:szCs w:val="28"/>
        </w:rPr>
        <w:t>此外，</w:t>
      </w:r>
      <w:proofErr w:type="gramEnd"/>
      <w:r w:rsidR="0044560A" w:rsidRPr="0044560A">
        <w:rPr>
          <w:rFonts w:ascii="標楷體" w:eastAsia="標楷體" w:hAnsi="標楷體" w:hint="eastAsia"/>
          <w:sz w:val="28"/>
          <w:szCs w:val="28"/>
        </w:rPr>
        <w:t>第二題「蔬果攝取比例」雖有77.7%的答對率，但仍有近四分之一的受訪者誤認水果與蔬菜攝取應「均衡」，反映長者對於政府飲食指南中「蔬菜多於水果」的核心概念尚未完全內化。</w:t>
      </w:r>
    </w:p>
    <w:p w:rsidR="0044560A" w:rsidRDefault="0044560A" w:rsidP="001433C8">
      <w:pPr>
        <w:spacing w:after="0" w:line="460" w:lineRule="exact"/>
        <w:ind w:leftChars="177" w:left="425" w:firstLineChars="200" w:firstLine="560"/>
        <w:rPr>
          <w:rFonts w:ascii="標楷體" w:eastAsia="標楷體" w:hAnsi="標楷體"/>
          <w:sz w:val="28"/>
          <w:szCs w:val="28"/>
        </w:rPr>
      </w:pPr>
      <w:r w:rsidRPr="0044560A">
        <w:rPr>
          <w:rFonts w:ascii="標楷體" w:eastAsia="標楷體" w:hAnsi="標楷體" w:hint="eastAsia"/>
          <w:sz w:val="28"/>
          <w:szCs w:val="28"/>
        </w:rPr>
        <w:t>綜合分析顯示，澎湖長者整體在健康飲食知識方面已有基礎，但針對特定營養素來源、食品選擇依據（如添加碘）、脂肪酸種類與營養標示閱讀等進階</w:t>
      </w:r>
      <w:proofErr w:type="gramStart"/>
      <w:r w:rsidRPr="0044560A">
        <w:rPr>
          <w:rFonts w:ascii="標楷體" w:eastAsia="標楷體" w:hAnsi="標楷體" w:hint="eastAsia"/>
          <w:sz w:val="28"/>
          <w:szCs w:val="28"/>
        </w:rPr>
        <w:t>營養識能</w:t>
      </w:r>
      <w:proofErr w:type="gramEnd"/>
      <w:r w:rsidRPr="0044560A">
        <w:rPr>
          <w:rFonts w:ascii="標楷體" w:eastAsia="標楷體" w:hAnsi="標楷體" w:hint="eastAsia"/>
          <w:sz w:val="28"/>
          <w:szCs w:val="28"/>
        </w:rPr>
        <w:t>，仍有加強必要。調查亦顯示教育程度越高、年齡越低者答對率越高，反映教育背景與學習可近性對營養知識有正向影響。這些現象為營養教育設計提供重要依據，後續政策應因應長者特性與在地文化，採用適切教材與推廣模式，以提升學習成效與行為轉化能力</w:t>
      </w:r>
      <w:r>
        <w:rPr>
          <w:rFonts w:ascii="標楷體" w:eastAsia="標楷體" w:hAnsi="標楷體" w:hint="eastAsia"/>
          <w:sz w:val="28"/>
          <w:szCs w:val="28"/>
        </w:rPr>
        <w:t>，採取以下營養教育推動模式：</w:t>
      </w:r>
    </w:p>
    <w:p w:rsidR="00343F27" w:rsidRPr="002816EB" w:rsidRDefault="00343F27" w:rsidP="008D7F06">
      <w:pPr>
        <w:spacing w:after="0" w:line="460" w:lineRule="exact"/>
        <w:ind w:leftChars="177" w:left="708" w:hangingChars="101" w:hanging="283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1.蔬果分類與比例的觀念仍有混淆，應強化視覺教材及生活化教</w:t>
      </w:r>
      <w:r w:rsidRPr="002816EB">
        <w:rPr>
          <w:rFonts w:ascii="標楷體" w:eastAsia="標楷體" w:hAnsi="標楷體" w:hint="eastAsia"/>
          <w:sz w:val="28"/>
          <w:szCs w:val="28"/>
        </w:rPr>
        <w:lastRenderedPageBreak/>
        <w:t>學。</w:t>
      </w:r>
    </w:p>
    <w:p w:rsidR="00343F27" w:rsidRPr="002816EB" w:rsidRDefault="00343F27" w:rsidP="008D7F06">
      <w:pPr>
        <w:spacing w:after="0" w:line="460" w:lineRule="exact"/>
        <w:ind w:leftChars="177" w:left="708" w:hangingChars="101" w:hanging="283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2.對油脂類認知不足，</w:t>
      </w:r>
      <w:r w:rsidR="00A71E88">
        <w:rPr>
          <w:rFonts w:ascii="標楷體" w:eastAsia="標楷體" w:hAnsi="標楷體" w:hint="eastAsia"/>
          <w:sz w:val="28"/>
          <w:szCs w:val="28"/>
        </w:rPr>
        <w:t>於社區營養課程中融入</w:t>
      </w:r>
      <w:r w:rsidRPr="002816EB">
        <w:rPr>
          <w:rFonts w:ascii="標楷體" w:eastAsia="標楷體" w:hAnsi="標楷體" w:hint="eastAsia"/>
          <w:sz w:val="28"/>
          <w:szCs w:val="28"/>
        </w:rPr>
        <w:t>示範不同油品用途與心血管健康關聯。</w:t>
      </w:r>
    </w:p>
    <w:p w:rsidR="00343F27" w:rsidRPr="002816EB" w:rsidRDefault="00343F27" w:rsidP="008D7F06">
      <w:pPr>
        <w:spacing w:after="0" w:line="460" w:lineRule="exact"/>
        <w:ind w:leftChars="177" w:left="708" w:hangingChars="101" w:hanging="283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3.可先了解澎湖</w:t>
      </w:r>
      <w:r w:rsidR="00501AD9" w:rsidRPr="002816EB">
        <w:rPr>
          <w:rFonts w:ascii="標楷體" w:eastAsia="標楷體" w:hAnsi="標楷體" w:hint="eastAsia"/>
          <w:sz w:val="28"/>
          <w:szCs w:val="28"/>
        </w:rPr>
        <w:t>為海島地區</w:t>
      </w:r>
      <w:r w:rsidRPr="002816EB">
        <w:rPr>
          <w:rFonts w:ascii="標楷體" w:eastAsia="標楷體" w:hAnsi="標楷體" w:hint="eastAsia"/>
          <w:sz w:val="28"/>
          <w:szCs w:val="28"/>
        </w:rPr>
        <w:t>長者</w:t>
      </w:r>
      <w:r w:rsidR="00501AD9" w:rsidRPr="002816EB">
        <w:rPr>
          <w:rFonts w:ascii="標楷體" w:eastAsia="標楷體" w:hAnsi="標楷體" w:hint="eastAsia"/>
          <w:sz w:val="28"/>
          <w:szCs w:val="28"/>
        </w:rPr>
        <w:t>在</w:t>
      </w:r>
      <w:r w:rsidRPr="002816EB">
        <w:rPr>
          <w:rFonts w:ascii="標楷體" w:eastAsia="標楷體" w:hAnsi="標楷體" w:hint="eastAsia"/>
          <w:sz w:val="28"/>
          <w:szCs w:val="28"/>
        </w:rPr>
        <w:t>藻類食材的攝取</w:t>
      </w:r>
      <w:r w:rsidR="00501AD9" w:rsidRPr="002816EB">
        <w:rPr>
          <w:rFonts w:ascii="標楷體" w:eastAsia="標楷體" w:hAnsi="標楷體" w:hint="eastAsia"/>
          <w:sz w:val="28"/>
          <w:szCs w:val="28"/>
        </w:rPr>
        <w:t>頻率</w:t>
      </w:r>
      <w:r w:rsidRPr="002816EB">
        <w:rPr>
          <w:rFonts w:ascii="標楷體" w:eastAsia="標楷體" w:hAnsi="標楷體" w:hint="eastAsia"/>
          <w:sz w:val="28"/>
          <w:szCs w:val="28"/>
        </w:rPr>
        <w:t>是否</w:t>
      </w:r>
      <w:r w:rsidR="00501AD9" w:rsidRPr="002816EB">
        <w:rPr>
          <w:rFonts w:ascii="標楷體" w:eastAsia="標楷體" w:hAnsi="標楷體" w:hint="eastAsia"/>
          <w:sz w:val="28"/>
          <w:szCs w:val="28"/>
        </w:rPr>
        <w:t>有較高，</w:t>
      </w:r>
      <w:r w:rsidR="00BA1FB5">
        <w:rPr>
          <w:rFonts w:ascii="標楷體" w:eastAsia="標楷體" w:hAnsi="標楷體" w:hint="eastAsia"/>
          <w:sz w:val="28"/>
          <w:szCs w:val="28"/>
        </w:rPr>
        <w:t>比較</w:t>
      </w:r>
      <w:r w:rsidR="00501AD9" w:rsidRPr="002816EB">
        <w:rPr>
          <w:rFonts w:ascii="標楷體" w:eastAsia="標楷體" w:hAnsi="標楷體" w:hint="eastAsia"/>
          <w:sz w:val="28"/>
          <w:szCs w:val="28"/>
        </w:rPr>
        <w:t>不需加強推廣</w:t>
      </w:r>
      <w:r w:rsidRPr="002816EB">
        <w:rPr>
          <w:rFonts w:ascii="標楷體" w:eastAsia="標楷體" w:hAnsi="標楷體" w:hint="eastAsia"/>
          <w:sz w:val="28"/>
          <w:szCs w:val="28"/>
        </w:rPr>
        <w:t>挑選</w:t>
      </w:r>
      <w:r w:rsidR="00501AD9" w:rsidRPr="002816EB">
        <w:rPr>
          <w:rFonts w:ascii="標楷體" w:eastAsia="標楷體" w:hAnsi="標楷體" w:hint="eastAsia"/>
          <w:sz w:val="28"/>
          <w:szCs w:val="28"/>
        </w:rPr>
        <w:t>使用含有</w:t>
      </w:r>
      <w:r w:rsidRPr="002816EB">
        <w:rPr>
          <w:rFonts w:ascii="標楷體" w:eastAsia="標楷體" w:hAnsi="標楷體" w:hint="eastAsia"/>
          <w:sz w:val="28"/>
          <w:szCs w:val="28"/>
        </w:rPr>
        <w:t>碘食鹽</w:t>
      </w:r>
      <w:r w:rsidR="00501AD9" w:rsidRPr="002816EB">
        <w:rPr>
          <w:rFonts w:ascii="標楷體" w:eastAsia="標楷體" w:hAnsi="標楷體" w:hint="eastAsia"/>
          <w:sz w:val="28"/>
          <w:szCs w:val="28"/>
        </w:rPr>
        <w:t>。</w:t>
      </w:r>
    </w:p>
    <w:p w:rsidR="00343F27" w:rsidRPr="002816EB" w:rsidRDefault="00343F27" w:rsidP="008D7F06">
      <w:pPr>
        <w:spacing w:after="0" w:line="460" w:lineRule="exact"/>
        <w:ind w:leftChars="177" w:left="708" w:hangingChars="101" w:hanging="283"/>
        <w:rPr>
          <w:rFonts w:ascii="標楷體" w:eastAsia="標楷體" w:hAnsi="標楷體"/>
          <w:sz w:val="28"/>
          <w:szCs w:val="28"/>
        </w:rPr>
      </w:pPr>
      <w:r w:rsidRPr="002816EB">
        <w:rPr>
          <w:rFonts w:ascii="標楷體" w:eastAsia="標楷體" w:hAnsi="標楷體" w:hint="eastAsia"/>
          <w:sz w:val="28"/>
          <w:szCs w:val="28"/>
        </w:rPr>
        <w:t>4.高齡者對營養知識吸收能力下降，建議搭配實物演練與重複式學習模式。</w:t>
      </w:r>
    </w:p>
    <w:p w:rsidR="004618CE" w:rsidRDefault="00956772" w:rsidP="008D7F06">
      <w:pPr>
        <w:spacing w:after="0" w:line="460" w:lineRule="exact"/>
        <w:ind w:leftChars="177" w:left="708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="008D7F06" w:rsidRPr="00DE1717">
        <w:rPr>
          <w:rFonts w:ascii="標楷體" w:eastAsia="標楷體" w:hAnsi="標楷體"/>
          <w:sz w:val="28"/>
          <w:szCs w:val="28"/>
        </w:rPr>
        <w:t>銀髮族常面臨「吃不夠」的問題</w:t>
      </w:r>
      <w:r w:rsidR="008D7F06" w:rsidRPr="00DE1717">
        <w:rPr>
          <w:rFonts w:ascii="標楷體" w:eastAsia="標楷體" w:hAnsi="標楷體" w:hint="eastAsia"/>
          <w:sz w:val="28"/>
          <w:szCs w:val="28"/>
        </w:rPr>
        <w:t>，</w:t>
      </w:r>
      <w:r w:rsidR="008D7F06" w:rsidRPr="00DE1717">
        <w:rPr>
          <w:rFonts w:ascii="標楷體" w:eastAsia="標楷體" w:hAnsi="標楷體"/>
          <w:sz w:val="28"/>
          <w:szCs w:val="28"/>
        </w:rPr>
        <w:t>根據2013</w:t>
      </w:r>
      <w:proofErr w:type="gramStart"/>
      <w:r w:rsidR="008D7F06" w:rsidRPr="00DE1717">
        <w:rPr>
          <w:rFonts w:ascii="標楷體" w:eastAsia="標楷體" w:hAnsi="標楷體"/>
          <w:sz w:val="28"/>
          <w:szCs w:val="28"/>
        </w:rPr>
        <w:t>–</w:t>
      </w:r>
      <w:proofErr w:type="gramEnd"/>
      <w:r w:rsidR="008D7F06" w:rsidRPr="00DE1717">
        <w:rPr>
          <w:rFonts w:ascii="標楷體" w:eastAsia="標楷體" w:hAnsi="標楷體"/>
          <w:sz w:val="28"/>
          <w:szCs w:val="28"/>
        </w:rPr>
        <w:t>2016年國民營養健康狀況變遷調查結果，發現長者的熱量攝取不足盛行率高達42％，進一步針對2017</w:t>
      </w:r>
      <w:proofErr w:type="gramStart"/>
      <w:r w:rsidR="008D7F06" w:rsidRPr="00DE1717">
        <w:rPr>
          <w:rFonts w:ascii="標楷體" w:eastAsia="標楷體" w:hAnsi="標楷體"/>
          <w:sz w:val="28"/>
          <w:szCs w:val="28"/>
        </w:rPr>
        <w:t>–</w:t>
      </w:r>
      <w:proofErr w:type="gramEnd"/>
      <w:r w:rsidR="008D7F06" w:rsidRPr="00DE1717">
        <w:rPr>
          <w:rFonts w:ascii="標楷體" w:eastAsia="標楷體" w:hAnsi="標楷體"/>
          <w:sz w:val="28"/>
          <w:szCs w:val="28"/>
        </w:rPr>
        <w:t>2020年調查六大類食物的攝取情形發現，長者在蔬菜、水果與乳品類的攝取量明顯低於每日飲食指南建議。其中攝取不足比例最高的是奶類（81.6%）與水果類（72.9%）</w:t>
      </w:r>
      <w:r w:rsidR="008D7F06">
        <w:rPr>
          <w:rFonts w:ascii="標楷體" w:eastAsia="標楷體" w:hAnsi="標楷體"/>
          <w:sz w:val="28"/>
          <w:szCs w:val="28"/>
        </w:rPr>
        <w:t>，</w:t>
      </w:r>
      <w:r w:rsidR="008D7F06" w:rsidRPr="00DE1717">
        <w:rPr>
          <w:rFonts w:ascii="標楷體" w:eastAsia="標楷體" w:hAnsi="標楷體"/>
          <w:sz w:val="28"/>
          <w:szCs w:val="28"/>
        </w:rPr>
        <w:t>為改善高齡者的飲食攝取狀況，特別聚焦於「我的餐盤」均衡飲食與蔬果攝取比例，設計結合「高齡友善教具」與「口語圖像化教材」的教學方式，進行健康與均衡營養的推廣。(資料來源：</w:t>
      </w:r>
      <w:proofErr w:type="gramStart"/>
      <w:r w:rsidR="008D7F06" w:rsidRPr="00DE1717">
        <w:rPr>
          <w:rFonts w:ascii="標楷體" w:eastAsia="標楷體" w:hAnsi="標楷體" w:hint="eastAsia"/>
          <w:sz w:val="28"/>
          <w:szCs w:val="28"/>
        </w:rPr>
        <w:t>衛福部國民健康署</w:t>
      </w:r>
      <w:proofErr w:type="gramEnd"/>
      <w:r w:rsidR="008D7F06" w:rsidRPr="00DE1717">
        <w:rPr>
          <w:rFonts w:ascii="標楷體" w:eastAsia="標楷體" w:hAnsi="標楷體" w:hint="eastAsia"/>
          <w:sz w:val="28"/>
          <w:szCs w:val="28"/>
        </w:rPr>
        <w:t>國民營養健康狀況變遷調查)</w:t>
      </w:r>
    </w:p>
    <w:p w:rsidR="008D5BAF" w:rsidRDefault="004618CE" w:rsidP="004618CE">
      <w:pPr>
        <w:spacing w:after="0" w:line="460" w:lineRule="exact"/>
        <w:ind w:leftChars="177" w:left="425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表</w:t>
      </w:r>
      <w:r w:rsidR="008D7F06">
        <w:rPr>
          <w:rFonts w:ascii="標楷體" w:eastAsia="標楷體" w:hAnsi="標楷體"/>
          <w:sz w:val="28"/>
          <w:szCs w:val="28"/>
        </w:rPr>
        <w:t>4.</w:t>
      </w:r>
      <w:r w:rsidR="00D130D1">
        <w:rPr>
          <w:rFonts w:ascii="標楷體" w:eastAsia="標楷體" w:hAnsi="標楷體" w:hint="eastAsia"/>
          <w:sz w:val="28"/>
          <w:szCs w:val="28"/>
        </w:rPr>
        <w:t>2013</w:t>
      </w:r>
      <w:r w:rsidRPr="00BD0DCE">
        <w:rPr>
          <w:rFonts w:ascii="標楷體" w:eastAsia="標楷體" w:hAnsi="標楷體" w:hint="eastAsia"/>
          <w:sz w:val="28"/>
          <w:szCs w:val="28"/>
        </w:rPr>
        <w:t>-20</w:t>
      </w:r>
      <w:r>
        <w:rPr>
          <w:rFonts w:ascii="標楷體" w:eastAsia="標楷體" w:hAnsi="標楷體" w:hint="eastAsia"/>
          <w:sz w:val="28"/>
          <w:szCs w:val="28"/>
        </w:rPr>
        <w:t>20</w:t>
      </w:r>
      <w:r w:rsidRPr="00BD0DCE">
        <w:rPr>
          <w:rFonts w:ascii="標楷體" w:eastAsia="標楷體" w:hAnsi="標楷體" w:hint="eastAsia"/>
          <w:sz w:val="28"/>
          <w:szCs w:val="28"/>
        </w:rPr>
        <w:t>年國民營養健康狀況變遷調查</w:t>
      </w:r>
    </w:p>
    <w:tbl>
      <w:tblPr>
        <w:tblStyle w:val="ae"/>
        <w:tblW w:w="0" w:type="auto"/>
        <w:tblInd w:w="425" w:type="dxa"/>
        <w:tblLayout w:type="fixed"/>
        <w:tblLook w:val="04A0"/>
      </w:tblPr>
      <w:tblGrid>
        <w:gridCol w:w="959"/>
        <w:gridCol w:w="3402"/>
        <w:gridCol w:w="3686"/>
      </w:tblGrid>
      <w:tr w:rsidR="00E203FC" w:rsidTr="00E203FC">
        <w:tc>
          <w:tcPr>
            <w:tcW w:w="959" w:type="dxa"/>
          </w:tcPr>
          <w:p w:rsidR="00E203FC" w:rsidRDefault="00E203FC" w:rsidP="00FC034F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:rsidR="00E203FC" w:rsidRDefault="00E203FC" w:rsidP="00FC034F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D5BAF">
              <w:rPr>
                <w:rFonts w:ascii="標楷體" w:eastAsia="標楷體" w:hAnsi="標楷體"/>
                <w:sz w:val="28"/>
                <w:szCs w:val="28"/>
              </w:rPr>
              <w:t>65-74歲</w:t>
            </w:r>
          </w:p>
        </w:tc>
        <w:tc>
          <w:tcPr>
            <w:tcW w:w="3686" w:type="dxa"/>
          </w:tcPr>
          <w:p w:rsidR="00E203FC" w:rsidRDefault="00E203FC" w:rsidP="006B30C6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D5BAF">
              <w:rPr>
                <w:rFonts w:ascii="標楷體" w:eastAsia="標楷體" w:hAnsi="標楷體"/>
                <w:sz w:val="28"/>
                <w:szCs w:val="28"/>
              </w:rPr>
              <w:t>75歲以上</w:t>
            </w:r>
          </w:p>
        </w:tc>
      </w:tr>
      <w:tr w:rsidR="000B5E84" w:rsidTr="000B5E84">
        <w:trPr>
          <w:trHeight w:val="795"/>
        </w:trPr>
        <w:tc>
          <w:tcPr>
            <w:tcW w:w="959" w:type="dxa"/>
            <w:vMerge w:val="restart"/>
          </w:tcPr>
          <w:p w:rsidR="000B5E84" w:rsidRDefault="000B5E84" w:rsidP="00FC034F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2013-2016年</w:t>
            </w:r>
          </w:p>
        </w:tc>
        <w:tc>
          <w:tcPr>
            <w:tcW w:w="3402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(1)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每日蔬菜攝取達3份的達標率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20.9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%</w:t>
            </w:r>
          </w:p>
        </w:tc>
        <w:tc>
          <w:tcPr>
            <w:tcW w:w="3686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(1)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每日蔬菜攝取達3份的達標率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19.8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%</w:t>
            </w:r>
          </w:p>
        </w:tc>
      </w:tr>
      <w:tr w:rsidR="000B5E84" w:rsidTr="000B5E84">
        <w:trPr>
          <w:trHeight w:val="960"/>
        </w:trPr>
        <w:tc>
          <w:tcPr>
            <w:tcW w:w="959" w:type="dxa"/>
            <w:vMerge/>
          </w:tcPr>
          <w:p w:rsidR="000B5E84" w:rsidRDefault="000B5E84" w:rsidP="00FC034F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每日水果攝取達2份的達標率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13.4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%</w:t>
            </w:r>
          </w:p>
        </w:tc>
        <w:tc>
          <w:tcPr>
            <w:tcW w:w="3686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每日水果攝取達2份的達標率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8.8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%</w:t>
            </w:r>
          </w:p>
        </w:tc>
      </w:tr>
      <w:tr w:rsidR="000B5E84" w:rsidTr="00E203FC">
        <w:trPr>
          <w:trHeight w:val="990"/>
        </w:trPr>
        <w:tc>
          <w:tcPr>
            <w:tcW w:w="959" w:type="dxa"/>
            <w:vMerge/>
          </w:tcPr>
          <w:p w:rsidR="000B5E84" w:rsidRDefault="000B5E84" w:rsidP="00FC034F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(3)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乳品類攝取不足1份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82.6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%</w:t>
            </w:r>
          </w:p>
        </w:tc>
        <w:tc>
          <w:tcPr>
            <w:tcW w:w="3686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(3)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 xml:space="preserve"> 乳品類攝取不足1份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93.4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%</w:t>
            </w:r>
          </w:p>
        </w:tc>
      </w:tr>
      <w:tr w:rsidR="000B5E84" w:rsidTr="000B5E84">
        <w:trPr>
          <w:trHeight w:val="945"/>
        </w:trPr>
        <w:tc>
          <w:tcPr>
            <w:tcW w:w="959" w:type="dxa"/>
            <w:vMerge w:val="restart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201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sz w:val="28"/>
                <w:szCs w:val="28"/>
              </w:rPr>
              <w:t>-20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  <w:tc>
          <w:tcPr>
            <w:tcW w:w="3402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(1)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每日蔬菜攝取達3份的達標率30.1%</w:t>
            </w:r>
          </w:p>
        </w:tc>
        <w:tc>
          <w:tcPr>
            <w:tcW w:w="3686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每日蔬菜攝取達3份的達標率30.3%</w:t>
            </w:r>
          </w:p>
        </w:tc>
      </w:tr>
      <w:tr w:rsidR="000B5E84" w:rsidTr="000B5E84">
        <w:trPr>
          <w:trHeight w:val="960"/>
        </w:trPr>
        <w:tc>
          <w:tcPr>
            <w:tcW w:w="959" w:type="dxa"/>
            <w:vMerge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>每日水果攝取達2份的達標率17.8%</w:t>
            </w:r>
          </w:p>
        </w:tc>
        <w:tc>
          <w:tcPr>
            <w:tcW w:w="3686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 xml:space="preserve"> 每日水果攝取達2份的達標率10.9%</w:t>
            </w:r>
          </w:p>
        </w:tc>
      </w:tr>
      <w:tr w:rsidR="000B5E84" w:rsidTr="00E203FC">
        <w:trPr>
          <w:trHeight w:val="865"/>
        </w:trPr>
        <w:tc>
          <w:tcPr>
            <w:tcW w:w="959" w:type="dxa"/>
            <w:vMerge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(3)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 xml:space="preserve"> 乳品類攝取不足1份92.0%</w:t>
            </w:r>
          </w:p>
        </w:tc>
        <w:tc>
          <w:tcPr>
            <w:tcW w:w="3686" w:type="dxa"/>
          </w:tcPr>
          <w:p w:rsidR="000B5E84" w:rsidRDefault="000B5E84" w:rsidP="00E203F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(3)</w:t>
            </w:r>
            <w:r w:rsidRPr="008D5BAF">
              <w:rPr>
                <w:rFonts w:ascii="標楷體" w:eastAsia="標楷體" w:hAnsi="標楷體"/>
                <w:sz w:val="28"/>
                <w:szCs w:val="28"/>
              </w:rPr>
              <w:t xml:space="preserve"> 乳品類攝取不足1份81.1%</w:t>
            </w:r>
          </w:p>
        </w:tc>
      </w:tr>
    </w:tbl>
    <w:p w:rsidR="00D130D1" w:rsidRPr="008D7F06" w:rsidRDefault="00D130D1" w:rsidP="008D7F06">
      <w:pPr>
        <w:spacing w:after="0" w:line="460" w:lineRule="exact"/>
        <w:ind w:firstLineChars="101" w:firstLine="242"/>
        <w:rPr>
          <w:rFonts w:ascii="標楷體" w:eastAsia="標楷體" w:hAnsi="標楷體"/>
          <w:szCs w:val="28"/>
        </w:rPr>
      </w:pPr>
      <w:bookmarkStart w:id="20" w:name="_Toc198200901"/>
      <w:bookmarkStart w:id="21" w:name="_Toc198202173"/>
      <w:r w:rsidRPr="008D7F06">
        <w:rPr>
          <w:rFonts w:ascii="標楷體" w:eastAsia="標楷體" w:hAnsi="標楷體" w:hint="eastAsia"/>
          <w:szCs w:val="28"/>
        </w:rPr>
        <w:t>資料來源：</w:t>
      </w:r>
      <w:proofErr w:type="gramStart"/>
      <w:r w:rsidRPr="008D7F06">
        <w:rPr>
          <w:rFonts w:ascii="標楷體" w:eastAsia="標楷體" w:hAnsi="標楷體" w:hint="eastAsia"/>
          <w:szCs w:val="28"/>
        </w:rPr>
        <w:t>衛福部國民健康署</w:t>
      </w:r>
      <w:proofErr w:type="gramEnd"/>
      <w:r w:rsidRPr="008D7F06">
        <w:rPr>
          <w:rFonts w:ascii="標楷體" w:eastAsia="標楷體" w:hAnsi="標楷體" w:hint="eastAsia"/>
          <w:szCs w:val="28"/>
        </w:rPr>
        <w:t>國民營養健康狀況變遷調查。</w:t>
      </w:r>
    </w:p>
    <w:p w:rsidR="00E17570" w:rsidRPr="00D130D1" w:rsidRDefault="00D130D1" w:rsidP="00D130D1">
      <w:pPr>
        <w:spacing w:after="0" w:line="460" w:lineRule="exact"/>
        <w:ind w:leftChars="177" w:left="425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表</w:t>
      </w:r>
      <w:r w:rsidR="008D7F06">
        <w:rPr>
          <w:rFonts w:ascii="標楷體" w:eastAsia="標楷體" w:hAnsi="標楷體"/>
          <w:sz w:val="28"/>
          <w:szCs w:val="28"/>
        </w:rPr>
        <w:t>5.</w:t>
      </w:r>
      <w:r w:rsidRPr="00D130D1">
        <w:rPr>
          <w:rFonts w:ascii="標楷體" w:eastAsia="標楷體" w:hAnsi="標楷體" w:hint="eastAsia"/>
          <w:bCs/>
          <w:sz w:val="28"/>
          <w:szCs w:val="28"/>
        </w:rPr>
        <w:t>102-109年國民營養健康狀況變遷調查65-74歲</w:t>
      </w:r>
    </w:p>
    <w:p w:rsidR="00FC0C7F" w:rsidRDefault="00466C76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287991</wp:posOffset>
            </wp:positionH>
            <wp:positionV relativeFrom="paragraph">
              <wp:posOffset>81803</wp:posOffset>
            </wp:positionV>
            <wp:extent cx="4821891" cy="2823882"/>
            <wp:effectExtent l="19050" t="0" r="16809" b="0"/>
            <wp:wrapNone/>
            <wp:docPr id="9" name="圖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D130D1" w:rsidRPr="008D7F06" w:rsidRDefault="008D7F06" w:rsidP="008D7F06">
      <w:pPr>
        <w:spacing w:after="0" w:line="460" w:lineRule="exact"/>
        <w:ind w:leftChars="177" w:left="425"/>
        <w:rPr>
          <w:rFonts w:ascii="標楷體" w:eastAsia="標楷體" w:hAnsi="標楷體"/>
          <w:szCs w:val="28"/>
        </w:rPr>
      </w:pPr>
      <w:r w:rsidRPr="002F1E21">
        <w:rPr>
          <w:rFonts w:ascii="標楷體" w:eastAsia="標楷體" w:hAnsi="標楷體" w:hint="eastAsia"/>
          <w:szCs w:val="28"/>
        </w:rPr>
        <w:t>資料來源：</w:t>
      </w:r>
      <w:proofErr w:type="gramStart"/>
      <w:r w:rsidRPr="002F1E21">
        <w:rPr>
          <w:rFonts w:ascii="標楷體" w:eastAsia="標楷體" w:hAnsi="標楷體" w:hint="eastAsia"/>
          <w:szCs w:val="28"/>
        </w:rPr>
        <w:t>衛福部國民健康署</w:t>
      </w:r>
      <w:proofErr w:type="gramEnd"/>
      <w:r w:rsidRPr="002F1E21">
        <w:rPr>
          <w:rFonts w:ascii="標楷體" w:eastAsia="標楷體" w:hAnsi="標楷體" w:hint="eastAsia"/>
          <w:szCs w:val="28"/>
        </w:rPr>
        <w:t>國民營養健康狀況變遷調查。</w:t>
      </w:r>
    </w:p>
    <w:p w:rsidR="00E17570" w:rsidRDefault="00D130D1" w:rsidP="00D130D1">
      <w:pPr>
        <w:spacing w:after="0" w:line="460" w:lineRule="exact"/>
        <w:ind w:leftChars="177" w:left="425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表</w:t>
      </w:r>
      <w:r w:rsidR="008D7F06">
        <w:rPr>
          <w:rFonts w:ascii="標楷體" w:eastAsia="標楷體" w:hAnsi="標楷體"/>
          <w:sz w:val="28"/>
          <w:szCs w:val="28"/>
        </w:rPr>
        <w:t>6.</w:t>
      </w:r>
      <w:r w:rsidRPr="00D130D1">
        <w:rPr>
          <w:rFonts w:ascii="標楷體" w:eastAsia="標楷體" w:hAnsi="標楷體" w:hint="eastAsia"/>
          <w:bCs/>
          <w:sz w:val="28"/>
          <w:szCs w:val="28"/>
        </w:rPr>
        <w:t>102-109年國民營養健康狀況變遷調查</w:t>
      </w:r>
      <w:r>
        <w:rPr>
          <w:rFonts w:ascii="標楷體" w:eastAsia="標楷體" w:hAnsi="標楷體" w:hint="eastAsia"/>
          <w:bCs/>
          <w:sz w:val="28"/>
          <w:szCs w:val="28"/>
        </w:rPr>
        <w:t>75</w:t>
      </w:r>
      <w:r w:rsidRPr="00D130D1">
        <w:rPr>
          <w:rFonts w:ascii="標楷體" w:eastAsia="標楷體" w:hAnsi="標楷體" w:hint="eastAsia"/>
          <w:bCs/>
          <w:sz w:val="28"/>
          <w:szCs w:val="28"/>
        </w:rPr>
        <w:t>歲</w:t>
      </w:r>
      <w:r w:rsidR="00AC2D0F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287992</wp:posOffset>
            </wp:positionH>
            <wp:positionV relativeFrom="paragraph">
              <wp:posOffset>270809</wp:posOffset>
            </wp:positionV>
            <wp:extent cx="4818828" cy="2770094"/>
            <wp:effectExtent l="19050" t="0" r="19872" b="0"/>
            <wp:wrapNone/>
            <wp:docPr id="4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>
        <w:rPr>
          <w:rFonts w:ascii="標楷體" w:eastAsia="標楷體" w:hAnsi="標楷體" w:hint="eastAsia"/>
          <w:bCs/>
          <w:sz w:val="28"/>
          <w:szCs w:val="28"/>
        </w:rPr>
        <w:t>以上</w:t>
      </w:r>
    </w:p>
    <w:p w:rsidR="00FC0C7F" w:rsidRDefault="00FC0C7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AC2D0F" w:rsidRDefault="00AC2D0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AC2D0F" w:rsidRDefault="00AC2D0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AC2D0F" w:rsidRDefault="00AC2D0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AC2D0F" w:rsidRDefault="00AC2D0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AC2D0F" w:rsidRDefault="00AC2D0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AC2D0F" w:rsidRDefault="00AC2D0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AC2D0F" w:rsidRDefault="00AC2D0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AC2D0F" w:rsidRDefault="00AC2D0F" w:rsidP="00D130D1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8D7F06" w:rsidRDefault="008D7F06" w:rsidP="008D7F06">
      <w:pPr>
        <w:spacing w:after="0" w:line="460" w:lineRule="exact"/>
        <w:ind w:leftChars="177" w:left="425"/>
        <w:rPr>
          <w:rFonts w:ascii="標楷體" w:eastAsia="標楷體" w:hAnsi="標楷體"/>
          <w:szCs w:val="28"/>
        </w:rPr>
      </w:pPr>
    </w:p>
    <w:p w:rsidR="008D7F06" w:rsidRDefault="008D7F06" w:rsidP="008D7F06">
      <w:pPr>
        <w:spacing w:after="0" w:line="460" w:lineRule="exact"/>
        <w:ind w:leftChars="177" w:left="425"/>
        <w:rPr>
          <w:rFonts w:ascii="標楷體" w:eastAsia="標楷體" w:hAnsi="標楷體"/>
          <w:szCs w:val="28"/>
        </w:rPr>
      </w:pPr>
      <w:r w:rsidRPr="002F1E21">
        <w:rPr>
          <w:rFonts w:ascii="標楷體" w:eastAsia="標楷體" w:hAnsi="標楷體" w:hint="eastAsia"/>
          <w:szCs w:val="28"/>
        </w:rPr>
        <w:t>資料來源：</w:t>
      </w:r>
      <w:proofErr w:type="gramStart"/>
      <w:r w:rsidRPr="002F1E21">
        <w:rPr>
          <w:rFonts w:ascii="標楷體" w:eastAsia="標楷體" w:hAnsi="標楷體" w:hint="eastAsia"/>
          <w:szCs w:val="28"/>
        </w:rPr>
        <w:t>衛福部國民健康署</w:t>
      </w:r>
      <w:proofErr w:type="gramEnd"/>
      <w:r w:rsidRPr="002F1E21">
        <w:rPr>
          <w:rFonts w:ascii="標楷體" w:eastAsia="標楷體" w:hAnsi="標楷體" w:hint="eastAsia"/>
          <w:szCs w:val="28"/>
        </w:rPr>
        <w:t>國民營養健康狀況變遷調查。</w:t>
      </w:r>
    </w:p>
    <w:p w:rsidR="00AC2D0F" w:rsidRDefault="00AC2D0F" w:rsidP="00E17570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8D7F06" w:rsidRPr="008D7F06" w:rsidRDefault="008D7F06" w:rsidP="00E17570">
      <w:pPr>
        <w:spacing w:after="0" w:line="46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:rsidR="005E3A4D" w:rsidRPr="00E17570" w:rsidRDefault="008756CE" w:rsidP="00D130D1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肆、營養教育問題與政策建議</w:t>
      </w:r>
      <w:bookmarkEnd w:id="20"/>
      <w:bookmarkEnd w:id="21"/>
    </w:p>
    <w:p w:rsidR="005E3A4D" w:rsidRPr="005E3A4D" w:rsidRDefault="005E3A4D" w:rsidP="0083565C">
      <w:pPr>
        <w:spacing w:after="0" w:line="460" w:lineRule="exact"/>
        <w:ind w:leftChars="177" w:left="425" w:firstLineChars="200" w:firstLine="560"/>
        <w:rPr>
          <w:rFonts w:ascii="標楷體" w:eastAsia="標楷體" w:hAnsi="標楷體"/>
          <w:sz w:val="28"/>
          <w:szCs w:val="28"/>
        </w:rPr>
      </w:pPr>
      <w:r w:rsidRPr="005E3A4D">
        <w:rPr>
          <w:rFonts w:ascii="標楷體" w:eastAsia="標楷體" w:hAnsi="標楷體" w:hint="eastAsia"/>
          <w:sz w:val="28"/>
          <w:szCs w:val="28"/>
        </w:rPr>
        <w:t>根據本次營養問卷分析結果可發現，澎湖縣長者整體對健康飲食的基本概念已有初步建立，但在特定營養素辨識與食品選擇原則方面，仍呈現顯著的知識落差</w:t>
      </w:r>
      <w:r w:rsidR="009159F0">
        <w:rPr>
          <w:rFonts w:ascii="標楷體" w:eastAsia="標楷體" w:hAnsi="標楷體" w:hint="eastAsia"/>
          <w:sz w:val="28"/>
          <w:szCs w:val="28"/>
        </w:rPr>
        <w:t>，其中尤以油脂類選擇、碘的攝取及蔬果比例對於長者</w:t>
      </w:r>
      <w:proofErr w:type="gramStart"/>
      <w:r w:rsidR="009159F0">
        <w:rPr>
          <w:rFonts w:ascii="標楷體" w:eastAsia="標楷體" w:hAnsi="標楷體" w:hint="eastAsia"/>
          <w:sz w:val="28"/>
          <w:szCs w:val="28"/>
        </w:rPr>
        <w:t>來說較不</w:t>
      </w:r>
      <w:proofErr w:type="gramEnd"/>
      <w:r w:rsidR="009159F0">
        <w:rPr>
          <w:rFonts w:ascii="標楷體" w:eastAsia="標楷體" w:hAnsi="標楷體" w:hint="eastAsia"/>
          <w:sz w:val="28"/>
          <w:szCs w:val="28"/>
        </w:rPr>
        <w:t>熟悉</w:t>
      </w:r>
      <w:r w:rsidRPr="005E3A4D">
        <w:rPr>
          <w:rFonts w:ascii="標楷體" w:eastAsia="標楷體" w:hAnsi="標楷體" w:hint="eastAsia"/>
          <w:sz w:val="28"/>
          <w:szCs w:val="28"/>
        </w:rPr>
        <w:t>。具體而言，僅有58.4%的長者能正確選出對心血管健康較佳的沙拉油作為答案，顯示在地長者對於</w:t>
      </w:r>
      <w:r w:rsidR="008744D5">
        <w:rPr>
          <w:rFonts w:ascii="標楷體" w:eastAsia="標楷體" w:hAnsi="標楷體" w:hint="eastAsia"/>
          <w:sz w:val="28"/>
          <w:szCs w:val="28"/>
        </w:rPr>
        <w:t>烹調用</w:t>
      </w:r>
      <w:r w:rsidRPr="005E3A4D">
        <w:rPr>
          <w:rFonts w:ascii="標楷體" w:eastAsia="標楷體" w:hAnsi="標楷體" w:hint="eastAsia"/>
          <w:sz w:val="28"/>
          <w:szCs w:val="28"/>
        </w:rPr>
        <w:t>油脂分類認識不足，且易混淆椰子油與橄欖油等植物性脂肪的健康價值。</w:t>
      </w:r>
      <w:proofErr w:type="gramStart"/>
      <w:r w:rsidRPr="005E3A4D">
        <w:rPr>
          <w:rFonts w:ascii="標楷體" w:eastAsia="標楷體" w:hAnsi="標楷體" w:hint="eastAsia"/>
          <w:sz w:val="28"/>
          <w:szCs w:val="28"/>
        </w:rPr>
        <w:t>此外，</w:t>
      </w:r>
      <w:proofErr w:type="gramEnd"/>
      <w:r w:rsidRPr="005E3A4D">
        <w:rPr>
          <w:rFonts w:ascii="標楷體" w:eastAsia="標楷體" w:hAnsi="標楷體" w:hint="eastAsia"/>
          <w:sz w:val="28"/>
          <w:szCs w:val="28"/>
        </w:rPr>
        <w:t>對於「添加碘」字樣的食品標示理解亦不夠充分，許多受訪者誤認天然海鹽為較佳選擇，反映</w:t>
      </w:r>
      <w:proofErr w:type="gramStart"/>
      <w:r w:rsidRPr="005E3A4D">
        <w:rPr>
          <w:rFonts w:ascii="標楷體" w:eastAsia="標楷體" w:hAnsi="標楷體" w:hint="eastAsia"/>
          <w:sz w:val="28"/>
          <w:szCs w:val="28"/>
        </w:rPr>
        <w:t>標示識讀能力</w:t>
      </w:r>
      <w:proofErr w:type="gramEnd"/>
      <w:r w:rsidRPr="005E3A4D">
        <w:rPr>
          <w:rFonts w:ascii="標楷體" w:eastAsia="標楷體" w:hAnsi="標楷體" w:hint="eastAsia"/>
          <w:sz w:val="28"/>
          <w:szCs w:val="28"/>
        </w:rPr>
        <w:t>與對隱性營養素認知的不足。蔬果比例方面，則有近五分之一長者仍認為蔬菜與水果攝取應「均衡」，未理解蔬菜應多於水果的飲食建議，這亦可能導致實際飲食中蔬菜攝取量不足。</w:t>
      </w:r>
    </w:p>
    <w:p w:rsidR="00DE552F" w:rsidRDefault="005E3A4D" w:rsidP="0083565C">
      <w:pPr>
        <w:spacing w:after="0" w:line="460" w:lineRule="exact"/>
        <w:ind w:leftChars="177" w:left="425" w:firstLineChars="200" w:firstLine="560"/>
        <w:rPr>
          <w:rFonts w:ascii="標楷體" w:eastAsia="標楷體" w:hAnsi="標楷體"/>
          <w:sz w:val="28"/>
          <w:szCs w:val="28"/>
        </w:rPr>
      </w:pPr>
      <w:r w:rsidRPr="005E3A4D">
        <w:rPr>
          <w:rFonts w:ascii="標楷體" w:eastAsia="標楷體" w:hAnsi="標楷體" w:hint="eastAsia"/>
          <w:sz w:val="28"/>
          <w:szCs w:val="28"/>
        </w:rPr>
        <w:t>針對上述問題，營養政策應著眼於知識的落實與行為的轉化</w:t>
      </w:r>
      <w:r w:rsidR="0083565C">
        <w:rPr>
          <w:rFonts w:ascii="標楷體" w:eastAsia="標楷體" w:hAnsi="標楷體" w:hint="eastAsia"/>
          <w:sz w:val="28"/>
          <w:szCs w:val="28"/>
        </w:rPr>
        <w:t>，</w:t>
      </w:r>
      <w:r w:rsidRPr="005E3A4D">
        <w:rPr>
          <w:rFonts w:ascii="標楷體" w:eastAsia="標楷體" w:hAnsi="標楷體" w:hint="eastAsia"/>
          <w:sz w:val="28"/>
          <w:szCs w:val="28"/>
        </w:rPr>
        <w:t>除了既有營養教育課程外，更應透過圖像化、模擬化與生活化的教學策略，以因應高齡者學習與記憶特性的挑戰</w:t>
      </w:r>
      <w:r w:rsidR="00DE552F">
        <w:rPr>
          <w:rFonts w:ascii="標楷體" w:eastAsia="標楷體" w:hAnsi="標楷體" w:hint="eastAsia"/>
          <w:sz w:val="28"/>
          <w:szCs w:val="28"/>
        </w:rPr>
        <w:t>。</w:t>
      </w:r>
    </w:p>
    <w:p w:rsidR="00D130D1" w:rsidRDefault="005E3A4D" w:rsidP="00D130D1">
      <w:pPr>
        <w:spacing w:after="0" w:line="460" w:lineRule="exact"/>
        <w:ind w:leftChars="177" w:left="425" w:firstLineChars="200" w:firstLine="560"/>
        <w:rPr>
          <w:rFonts w:ascii="標楷體" w:eastAsia="標楷體" w:hAnsi="標楷體"/>
          <w:sz w:val="28"/>
          <w:szCs w:val="28"/>
        </w:rPr>
      </w:pPr>
      <w:r w:rsidRPr="005E3A4D">
        <w:rPr>
          <w:rFonts w:ascii="標楷體" w:eastAsia="標楷體" w:hAnsi="標楷體" w:hint="eastAsia"/>
          <w:sz w:val="28"/>
          <w:szCs w:val="28"/>
        </w:rPr>
        <w:t>此外，調查結果亦指出高齡者整體熱量攝取與奶類、蔬果類攝取顯著不足</w:t>
      </w:r>
      <w:r w:rsidR="005E5693">
        <w:rPr>
          <w:rFonts w:ascii="標楷體" w:eastAsia="標楷體" w:hAnsi="標楷體" w:hint="eastAsia"/>
          <w:sz w:val="28"/>
          <w:szCs w:val="28"/>
        </w:rPr>
        <w:t>，</w:t>
      </w:r>
      <w:r w:rsidRPr="005E3A4D">
        <w:rPr>
          <w:rFonts w:ascii="標楷體" w:eastAsia="標楷體" w:hAnsi="標楷體" w:hint="eastAsia"/>
          <w:sz w:val="28"/>
          <w:szCs w:val="28"/>
        </w:rPr>
        <w:t>根據國健署近年營養健康調查顯示，全國65歲以上長者每日蔬菜達標率僅約30%、水果達標率更低於18%，乳品攝取則不足一份者達八成以上</w:t>
      </w:r>
      <w:r w:rsidR="005E5693">
        <w:rPr>
          <w:rFonts w:ascii="標楷體" w:eastAsia="標楷體" w:hAnsi="標楷體" w:hint="eastAsia"/>
          <w:sz w:val="28"/>
          <w:szCs w:val="28"/>
        </w:rPr>
        <w:t>，</w:t>
      </w:r>
      <w:r w:rsidRPr="005E3A4D">
        <w:rPr>
          <w:rFonts w:ascii="標楷體" w:eastAsia="標楷體" w:hAnsi="標楷體" w:hint="eastAsia"/>
          <w:sz w:val="28"/>
          <w:szCs w:val="28"/>
        </w:rPr>
        <w:t>澎湖作為離島地區，物資取得不便、購買選擇有限，加上飲食文化與咀嚼功能退化等因素，使得部分長者雖具備營養知識，仍難實踐飲食建議。因此，政策應聚焦於如何讓「知道」轉化為「做到」，將營養教育由單向宣導，轉變為實務導向的行為支持服務。</w:t>
      </w:r>
      <w:bookmarkStart w:id="22" w:name="_Toc198200902"/>
      <w:bookmarkStart w:id="23" w:name="_Toc198202174"/>
    </w:p>
    <w:p w:rsidR="00D130D1" w:rsidRDefault="008756CE" w:rsidP="00D130D1">
      <w:pPr>
        <w:spacing w:after="0" w:line="46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756C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伍、結論</w:t>
      </w:r>
      <w:bookmarkStart w:id="24" w:name="_Toc198200903"/>
      <w:bookmarkStart w:id="25" w:name="_Toc198202175"/>
      <w:bookmarkEnd w:id="22"/>
      <w:bookmarkEnd w:id="23"/>
    </w:p>
    <w:p w:rsidR="005E3A4D" w:rsidRPr="00D130D1" w:rsidRDefault="005E3A4D" w:rsidP="00D130D1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 w:rsidRPr="008756CE">
        <w:rPr>
          <w:rFonts w:ascii="標楷體" w:eastAsia="標楷體" w:hAnsi="標楷體"/>
          <w:b/>
          <w:color w:val="000000" w:themeColor="text1"/>
          <w:sz w:val="28"/>
          <w:szCs w:val="28"/>
        </w:rPr>
        <w:t>（一）因應</w:t>
      </w:r>
      <w:r w:rsidR="00D02DA5">
        <w:rPr>
          <w:rFonts w:ascii="標楷體" w:eastAsia="標楷體" w:hAnsi="標楷體"/>
          <w:b/>
          <w:color w:val="000000" w:themeColor="text1"/>
          <w:sz w:val="28"/>
          <w:szCs w:val="28"/>
        </w:rPr>
        <w:t>中央</w:t>
      </w:r>
      <w:r w:rsidRPr="008756CE">
        <w:rPr>
          <w:rFonts w:ascii="標楷體" w:eastAsia="標楷體" w:hAnsi="標楷體"/>
          <w:b/>
          <w:color w:val="000000" w:themeColor="text1"/>
          <w:sz w:val="28"/>
          <w:szCs w:val="28"/>
        </w:rPr>
        <w:t>政策及營養中心設置的建</w:t>
      </w:r>
      <w:proofErr w:type="gramStart"/>
      <w:r w:rsidRPr="008756CE">
        <w:rPr>
          <w:rFonts w:ascii="標楷體" w:eastAsia="標楷體" w:hAnsi="標楷體"/>
          <w:b/>
          <w:color w:val="000000" w:themeColor="text1"/>
          <w:sz w:val="28"/>
          <w:szCs w:val="28"/>
        </w:rPr>
        <w:t>佈</w:t>
      </w:r>
      <w:bookmarkEnd w:id="24"/>
      <w:bookmarkEnd w:id="25"/>
      <w:proofErr w:type="gramEnd"/>
    </w:p>
    <w:p w:rsidR="00D130D1" w:rsidRDefault="005E3A4D" w:rsidP="008D7F06">
      <w:pPr>
        <w:spacing w:after="0" w:line="460" w:lineRule="exact"/>
        <w:ind w:leftChars="59" w:left="142" w:firstLineChars="200" w:firstLine="560"/>
        <w:rPr>
          <w:rFonts w:ascii="標楷體" w:eastAsia="標楷體" w:hAnsi="標楷體"/>
          <w:sz w:val="28"/>
          <w:szCs w:val="28"/>
        </w:rPr>
      </w:pPr>
      <w:r w:rsidRPr="005E3A4D">
        <w:rPr>
          <w:rFonts w:ascii="標楷體" w:eastAsia="標楷體" w:hAnsi="標楷體"/>
          <w:sz w:val="28"/>
          <w:szCs w:val="28"/>
        </w:rPr>
        <w:t>澎湖縣自成立社區營養推廣中心以來，逐步將營養政策目標導入在地社區，並透過創新教學與多元策略回應地方需求。在實施面上，已由過去以講授為主的營養課程，轉化為遊戲互動、</w:t>
      </w:r>
      <w:r>
        <w:rPr>
          <w:rFonts w:ascii="標楷體" w:eastAsia="標楷體" w:hAnsi="標楷體" w:hint="eastAsia"/>
          <w:sz w:val="28"/>
          <w:szCs w:val="28"/>
        </w:rPr>
        <w:t>食物實作</w:t>
      </w:r>
      <w:r w:rsidRPr="005E3A4D">
        <w:rPr>
          <w:rFonts w:ascii="標楷體" w:eastAsia="標楷體" w:hAnsi="標楷體"/>
          <w:sz w:val="28"/>
          <w:szCs w:val="28"/>
        </w:rPr>
        <w:t>、</w:t>
      </w:r>
      <w:r w:rsidRPr="005E3A4D">
        <w:rPr>
          <w:rFonts w:ascii="標楷體" w:eastAsia="標楷體" w:hAnsi="標楷體"/>
          <w:sz w:val="28"/>
          <w:szCs w:val="28"/>
        </w:rPr>
        <w:lastRenderedPageBreak/>
        <w:t>生活實境教學等具體操作形式</w:t>
      </w:r>
      <w:r w:rsidR="0024135C">
        <w:rPr>
          <w:rFonts w:ascii="標楷體" w:eastAsia="標楷體" w:hAnsi="標楷體" w:hint="eastAsia"/>
          <w:sz w:val="28"/>
          <w:szCs w:val="28"/>
        </w:rPr>
        <w:t>，</w:t>
      </w:r>
      <w:r w:rsidRPr="005E3A4D">
        <w:rPr>
          <w:rFonts w:ascii="標楷體" w:eastAsia="標楷體" w:hAnsi="標楷體"/>
          <w:sz w:val="28"/>
          <w:szCs w:val="28"/>
        </w:rPr>
        <w:t>例如透過「用手認識六大類食物」的教案設計，配合貼紙、賓果遊戲等方式，使高齡者能夠在愉快的學習情境中理解飲食內容</w:t>
      </w:r>
      <w:r w:rsidR="0024135C">
        <w:rPr>
          <w:rFonts w:ascii="標楷體" w:eastAsia="標楷體" w:hAnsi="標楷體" w:hint="eastAsia"/>
          <w:sz w:val="28"/>
          <w:szCs w:val="28"/>
        </w:rPr>
        <w:t>；</w:t>
      </w:r>
      <w:r w:rsidRPr="005E3A4D">
        <w:rPr>
          <w:rFonts w:ascii="標楷體" w:eastAsia="標楷體" w:hAnsi="標楷體"/>
          <w:sz w:val="28"/>
          <w:szCs w:val="28"/>
        </w:rPr>
        <w:t>對於乳品攝取不足問題，則藉由超市導</w:t>
      </w:r>
      <w:proofErr w:type="gramStart"/>
      <w:r w:rsidRPr="005E3A4D">
        <w:rPr>
          <w:rFonts w:ascii="標楷體" w:eastAsia="標楷體" w:hAnsi="標楷體"/>
          <w:sz w:val="28"/>
          <w:szCs w:val="28"/>
        </w:rPr>
        <w:t>覽</w:t>
      </w:r>
      <w:proofErr w:type="gramEnd"/>
      <w:r w:rsidRPr="005E3A4D">
        <w:rPr>
          <w:rFonts w:ascii="標楷體" w:eastAsia="標楷體" w:hAnsi="標楷體"/>
          <w:sz w:val="28"/>
          <w:szCs w:val="28"/>
        </w:rPr>
        <w:t>、實地選購，拉近知識與日常生活的距離，進一步促使飲食行為的改變。</w:t>
      </w:r>
      <w:proofErr w:type="gramStart"/>
      <w:r w:rsidRPr="005E3A4D">
        <w:rPr>
          <w:rFonts w:ascii="標楷體" w:eastAsia="標楷體" w:hAnsi="標楷體"/>
          <w:sz w:val="28"/>
          <w:szCs w:val="28"/>
        </w:rPr>
        <w:t>此外，</w:t>
      </w:r>
      <w:proofErr w:type="gramEnd"/>
      <w:r w:rsidRPr="005E3A4D">
        <w:rPr>
          <w:rFonts w:ascii="標楷體" w:eastAsia="標楷體" w:hAnsi="標楷體"/>
          <w:sz w:val="28"/>
          <w:szCs w:val="28"/>
        </w:rPr>
        <w:t>營養中心亦結合高齡健康促進班，規劃運動營養結合課程，以預防</w:t>
      </w:r>
      <w:proofErr w:type="gramStart"/>
      <w:r w:rsidRPr="005E3A4D">
        <w:rPr>
          <w:rFonts w:ascii="標楷體" w:eastAsia="標楷體" w:hAnsi="標楷體"/>
          <w:sz w:val="28"/>
          <w:szCs w:val="28"/>
        </w:rPr>
        <w:t>肌少症</w:t>
      </w:r>
      <w:proofErr w:type="gramEnd"/>
      <w:r w:rsidRPr="005E3A4D">
        <w:rPr>
          <w:rFonts w:ascii="標楷體" w:eastAsia="標楷體" w:hAnsi="標楷體"/>
          <w:sz w:val="28"/>
          <w:szCs w:val="28"/>
        </w:rPr>
        <w:t>並提升身體功能為核心，導入飲食與肌力訓練雙軌並進的整體策略</w:t>
      </w:r>
      <w:r w:rsidR="0024135C">
        <w:rPr>
          <w:rFonts w:ascii="標楷體" w:eastAsia="標楷體" w:hAnsi="標楷體" w:hint="eastAsia"/>
          <w:sz w:val="28"/>
          <w:szCs w:val="28"/>
        </w:rPr>
        <w:t>；</w:t>
      </w:r>
      <w:r w:rsidR="00DE552F" w:rsidRPr="00DE552F">
        <w:rPr>
          <w:rFonts w:ascii="標楷體" w:eastAsia="標楷體" w:hAnsi="標楷體" w:hint="eastAsia"/>
          <w:sz w:val="28"/>
          <w:szCs w:val="28"/>
        </w:rPr>
        <w:t>在地社區可導入以實物教具輔助說明食品分類的教學方式，透過料理實作與採買導</w:t>
      </w:r>
      <w:proofErr w:type="gramStart"/>
      <w:r w:rsidR="00DE552F" w:rsidRPr="00DE552F">
        <w:rPr>
          <w:rFonts w:ascii="標楷體" w:eastAsia="標楷體" w:hAnsi="標楷體" w:hint="eastAsia"/>
          <w:sz w:val="28"/>
          <w:szCs w:val="28"/>
        </w:rPr>
        <w:t>覽</w:t>
      </w:r>
      <w:proofErr w:type="gramEnd"/>
      <w:r w:rsidR="00DE552F" w:rsidRPr="00DE552F">
        <w:rPr>
          <w:rFonts w:ascii="標楷體" w:eastAsia="標楷體" w:hAnsi="標楷體" w:hint="eastAsia"/>
          <w:sz w:val="28"/>
          <w:szCs w:val="28"/>
        </w:rPr>
        <w:t>，實際展示含碘食鹽的包裝與油脂選擇的差異，使抽象概念具體可行</w:t>
      </w:r>
      <w:r w:rsidR="00D7395C">
        <w:rPr>
          <w:rFonts w:ascii="標楷體" w:eastAsia="標楷體" w:hAnsi="標楷體" w:hint="eastAsia"/>
          <w:sz w:val="28"/>
          <w:szCs w:val="28"/>
        </w:rPr>
        <w:t>，</w:t>
      </w:r>
      <w:r w:rsidR="00DE552F" w:rsidRPr="00DE552F">
        <w:rPr>
          <w:rFonts w:ascii="標楷體" w:eastAsia="標楷體" w:hAnsi="標楷體" w:hint="eastAsia"/>
          <w:sz w:val="28"/>
          <w:szCs w:val="28"/>
        </w:rPr>
        <w:t>同時應結合社區與跨單位的資源，促進長者在熟悉環境中的營養行為改變，藉由共餐據點、銀髮健身俱樂部與持續推動「</w:t>
      </w:r>
      <w:proofErr w:type="gramStart"/>
      <w:r w:rsidR="00DE552F" w:rsidRPr="00DE552F">
        <w:rPr>
          <w:rFonts w:ascii="標楷體" w:eastAsia="標楷體" w:hAnsi="標楷體" w:hint="eastAsia"/>
          <w:sz w:val="28"/>
          <w:szCs w:val="28"/>
        </w:rPr>
        <w:t>營養識能</w:t>
      </w:r>
      <w:proofErr w:type="gramEnd"/>
      <w:r w:rsidR="00DE552F" w:rsidRPr="00DE552F">
        <w:rPr>
          <w:rFonts w:ascii="標楷體" w:eastAsia="標楷體" w:hAnsi="標楷體" w:hint="eastAsia"/>
          <w:sz w:val="28"/>
          <w:szCs w:val="28"/>
        </w:rPr>
        <w:t>」的深化。</w:t>
      </w:r>
      <w:bookmarkStart w:id="26" w:name="_Toc198200904"/>
      <w:bookmarkStart w:id="27" w:name="_Toc198202176"/>
    </w:p>
    <w:p w:rsidR="00B80792" w:rsidRPr="00D130D1" w:rsidRDefault="00B80792" w:rsidP="00B80792">
      <w:pPr>
        <w:spacing w:after="0" w:line="460" w:lineRule="exact"/>
        <w:ind w:leftChars="177" w:left="425"/>
        <w:jc w:val="center"/>
        <w:rPr>
          <w:rFonts w:ascii="標楷體" w:eastAsia="標楷體" w:hAnsi="標楷體"/>
          <w:bCs/>
          <w:sz w:val="28"/>
          <w:szCs w:val="28"/>
        </w:rPr>
      </w:pPr>
      <w:r w:rsidRPr="00D130D1">
        <w:rPr>
          <w:rFonts w:ascii="標楷體" w:eastAsia="標楷體" w:hAnsi="標楷體"/>
          <w:sz w:val="28"/>
          <w:szCs w:val="28"/>
        </w:rPr>
        <w:t>表</w:t>
      </w:r>
      <w:r w:rsidR="008D7F06">
        <w:rPr>
          <w:rFonts w:ascii="標楷體" w:eastAsia="標楷體" w:hAnsi="標楷體"/>
          <w:sz w:val="28"/>
          <w:szCs w:val="28"/>
        </w:rPr>
        <w:t>7.</w:t>
      </w:r>
      <w:r w:rsidRPr="00D130D1">
        <w:rPr>
          <w:rFonts w:ascii="標楷體" w:eastAsia="標楷體" w:hAnsi="標楷體" w:hint="eastAsia"/>
          <w:bCs/>
          <w:sz w:val="28"/>
          <w:szCs w:val="28"/>
        </w:rPr>
        <w:t>107-113年辦理營養衛教課程村里涵蓋率</w:t>
      </w: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286561</wp:posOffset>
            </wp:positionH>
            <wp:positionV relativeFrom="paragraph">
              <wp:posOffset>152401</wp:posOffset>
            </wp:positionV>
            <wp:extent cx="5004206" cy="2936483"/>
            <wp:effectExtent l="19050" t="0" r="24994" b="0"/>
            <wp:wrapNone/>
            <wp:docPr id="7" name="圖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B80792" w:rsidRDefault="00B80792" w:rsidP="00B80792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B80792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B80792" w:rsidRDefault="00B80792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8D7F06" w:rsidRDefault="008D7F06" w:rsidP="008D7F06">
      <w:pPr>
        <w:spacing w:after="0" w:line="460" w:lineRule="exact"/>
        <w:ind w:leftChars="177" w:left="425"/>
        <w:rPr>
          <w:rFonts w:ascii="標楷體" w:eastAsia="標楷體" w:hAnsi="標楷體"/>
          <w:szCs w:val="28"/>
        </w:rPr>
      </w:pPr>
      <w:r w:rsidRPr="002F1E21">
        <w:rPr>
          <w:rFonts w:ascii="標楷體" w:eastAsia="標楷體" w:hAnsi="標楷體" w:hint="eastAsia"/>
          <w:szCs w:val="28"/>
        </w:rPr>
        <w:t>資料來源：</w:t>
      </w:r>
      <w:r>
        <w:rPr>
          <w:rFonts w:ascii="標楷體" w:eastAsia="標楷體" w:hAnsi="標楷體" w:hint="eastAsia"/>
          <w:szCs w:val="28"/>
        </w:rPr>
        <w:t xml:space="preserve"> 107-113年整合性預防延緩失能計畫社區營養推廣中心業務成效</w:t>
      </w:r>
      <w:r w:rsidRPr="002F1E21">
        <w:rPr>
          <w:rFonts w:ascii="標楷體" w:eastAsia="標楷體" w:hAnsi="標楷體" w:hint="eastAsia"/>
          <w:szCs w:val="28"/>
        </w:rPr>
        <w:t>。</w:t>
      </w:r>
    </w:p>
    <w:p w:rsidR="008D7F06" w:rsidRPr="008D7F06" w:rsidRDefault="008D7F06" w:rsidP="00D130D1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5E3A4D" w:rsidRPr="00D130D1" w:rsidRDefault="005E3A4D" w:rsidP="00D130D1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 w:rsidRPr="008756CE">
        <w:rPr>
          <w:rFonts w:ascii="標楷體" w:eastAsia="標楷體" w:hAnsi="標楷體"/>
          <w:b/>
          <w:color w:val="000000" w:themeColor="text1"/>
          <w:sz w:val="28"/>
          <w:szCs w:val="28"/>
        </w:rPr>
        <w:t>（二）積極配合中央政策，建立在地化健康支持性環境</w:t>
      </w:r>
      <w:bookmarkEnd w:id="26"/>
      <w:bookmarkEnd w:id="27"/>
    </w:p>
    <w:p w:rsidR="005E3A4D" w:rsidRPr="005E3A4D" w:rsidRDefault="005E3A4D" w:rsidP="00FE0528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E3A4D">
        <w:rPr>
          <w:rFonts w:ascii="標楷體" w:eastAsia="標楷體" w:hAnsi="標楷體"/>
          <w:sz w:val="28"/>
          <w:szCs w:val="28"/>
        </w:rPr>
        <w:t>澎湖縣在執行社區營養政策過程中，與中央政策接軌密切，特別是在《營養及健康飲食促進法》及長照2.0延伸服務下，逐步建構出</w:t>
      </w:r>
      <w:r w:rsidRPr="005E3A4D">
        <w:rPr>
          <w:rFonts w:ascii="標楷體" w:eastAsia="標楷體" w:hAnsi="標楷體"/>
          <w:sz w:val="28"/>
          <w:szCs w:val="28"/>
        </w:rPr>
        <w:lastRenderedPageBreak/>
        <w:t>跨領域、多層級的健康支持性系統。實務上已逐步導入營養到宅服務模式，由營養師走入家庭、深入理解個別營養問題並提供諮詢與追蹤建議，搭配</w:t>
      </w:r>
      <w:proofErr w:type="gramStart"/>
      <w:r w:rsidRPr="005E3A4D">
        <w:rPr>
          <w:rFonts w:ascii="標楷體" w:eastAsia="標楷體" w:hAnsi="標楷體"/>
          <w:sz w:val="28"/>
          <w:szCs w:val="28"/>
        </w:rPr>
        <w:t>肌少症</w:t>
      </w:r>
      <w:proofErr w:type="gramEnd"/>
      <w:r w:rsidRPr="005E3A4D">
        <w:rPr>
          <w:rFonts w:ascii="標楷體" w:eastAsia="標楷體" w:hAnsi="標楷體"/>
          <w:sz w:val="28"/>
          <w:szCs w:val="28"/>
        </w:rPr>
        <w:t>篩檢站與身體組成分析，使預防保健介入前移至潛在失能前期。同時，縣內更進一步推動高齡友善飲食環境建構，攜手便當店</w:t>
      </w:r>
      <w:r w:rsidR="00DE552F">
        <w:rPr>
          <w:rFonts w:ascii="標楷體" w:eastAsia="標楷體" w:hAnsi="標楷體" w:hint="eastAsia"/>
          <w:sz w:val="28"/>
          <w:szCs w:val="28"/>
        </w:rPr>
        <w:t>、</w:t>
      </w:r>
      <w:r w:rsidR="00DE552F">
        <w:rPr>
          <w:rFonts w:ascii="標楷體" w:eastAsia="標楷體" w:hAnsi="標楷體"/>
          <w:sz w:val="28"/>
          <w:szCs w:val="28"/>
        </w:rPr>
        <w:t>餐飲業</w:t>
      </w:r>
      <w:r w:rsidR="00DE552F">
        <w:rPr>
          <w:rFonts w:ascii="標楷體" w:eastAsia="標楷體" w:hAnsi="標楷體" w:hint="eastAsia"/>
          <w:sz w:val="28"/>
          <w:szCs w:val="28"/>
        </w:rPr>
        <w:t>輔導提供符合</w:t>
      </w:r>
      <w:r w:rsidRPr="005E3A4D">
        <w:rPr>
          <w:rFonts w:ascii="標楷體" w:eastAsia="標楷體" w:hAnsi="標楷體"/>
          <w:sz w:val="28"/>
          <w:szCs w:val="28"/>
        </w:rPr>
        <w:t>高齡</w:t>
      </w:r>
      <w:r w:rsidR="00DE552F">
        <w:rPr>
          <w:rFonts w:ascii="標楷體" w:eastAsia="標楷體" w:hAnsi="標楷體" w:hint="eastAsia"/>
          <w:sz w:val="28"/>
          <w:szCs w:val="28"/>
        </w:rPr>
        <w:t>飲食</w:t>
      </w:r>
      <w:r w:rsidR="00DE552F">
        <w:rPr>
          <w:rFonts w:ascii="標楷體" w:eastAsia="標楷體" w:hAnsi="標楷體"/>
          <w:sz w:val="28"/>
          <w:szCs w:val="28"/>
        </w:rPr>
        <w:t>菜</w:t>
      </w:r>
      <w:r w:rsidR="00DE552F">
        <w:rPr>
          <w:rFonts w:ascii="標楷體" w:eastAsia="標楷體" w:hAnsi="標楷體" w:hint="eastAsia"/>
          <w:sz w:val="28"/>
          <w:szCs w:val="28"/>
        </w:rPr>
        <w:t>單</w:t>
      </w:r>
      <w:r w:rsidRPr="005E3A4D">
        <w:rPr>
          <w:rFonts w:ascii="標楷體" w:eastAsia="標楷體" w:hAnsi="標楷體"/>
          <w:sz w:val="28"/>
          <w:szCs w:val="28"/>
        </w:rPr>
        <w:t>並提供便捷查詢資源，實質改善高齡者用餐選擇與社會參與。</w:t>
      </w:r>
    </w:p>
    <w:p w:rsidR="005E3A4D" w:rsidRDefault="005E3A4D" w:rsidP="00FE0528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E3A4D">
        <w:rPr>
          <w:rFonts w:ascii="標楷體" w:eastAsia="標楷體" w:hAnsi="標楷體"/>
          <w:sz w:val="28"/>
          <w:szCs w:val="28"/>
        </w:rPr>
        <w:t>為落實永續健康營養政策，也積極拓展</w:t>
      </w:r>
      <w:proofErr w:type="gramStart"/>
      <w:r w:rsidRPr="005E3A4D">
        <w:rPr>
          <w:rFonts w:ascii="標楷體" w:eastAsia="標楷體" w:hAnsi="標楷體"/>
          <w:sz w:val="28"/>
          <w:szCs w:val="28"/>
        </w:rPr>
        <w:t>營養識能向下</w:t>
      </w:r>
      <w:proofErr w:type="gramEnd"/>
      <w:r w:rsidRPr="005E3A4D">
        <w:rPr>
          <w:rFonts w:ascii="標楷體" w:eastAsia="標楷體" w:hAnsi="標楷體"/>
          <w:sz w:val="28"/>
          <w:szCs w:val="28"/>
        </w:rPr>
        <w:t>扎根，結合學校教育與社區文化局推出創新紅包袋、故事活動等，將營養概念以趣味方式傳達予學童與家庭。另一方面，亦與零售通路如</w:t>
      </w:r>
      <w:r w:rsidR="00295BF4">
        <w:rPr>
          <w:rFonts w:ascii="標楷體" w:eastAsia="標楷體" w:hAnsi="標楷體" w:hint="eastAsia"/>
          <w:sz w:val="28"/>
          <w:szCs w:val="28"/>
        </w:rPr>
        <w:t>全聯</w:t>
      </w:r>
      <w:r w:rsidRPr="005E3A4D">
        <w:rPr>
          <w:rFonts w:ascii="標楷體" w:eastAsia="標楷體" w:hAnsi="標楷體"/>
          <w:sz w:val="28"/>
          <w:szCs w:val="28"/>
        </w:rPr>
        <w:t>合作推廣「地中海飲食」、「</w:t>
      </w:r>
      <w:proofErr w:type="gramStart"/>
      <w:r w:rsidRPr="005E3A4D">
        <w:rPr>
          <w:rFonts w:ascii="標楷體" w:eastAsia="標楷體" w:hAnsi="標楷體"/>
          <w:sz w:val="28"/>
          <w:szCs w:val="28"/>
        </w:rPr>
        <w:t>護腦飲食</w:t>
      </w:r>
      <w:proofErr w:type="gramEnd"/>
      <w:r w:rsidRPr="005E3A4D">
        <w:rPr>
          <w:rFonts w:ascii="標楷體" w:eastAsia="標楷體" w:hAnsi="標楷體"/>
          <w:sz w:val="28"/>
          <w:szCs w:val="28"/>
        </w:rPr>
        <w:t>」等</w:t>
      </w:r>
      <w:r w:rsidR="00295BF4">
        <w:rPr>
          <w:rFonts w:ascii="標楷體" w:eastAsia="標楷體" w:hAnsi="標楷體" w:hint="eastAsia"/>
          <w:sz w:val="28"/>
          <w:szCs w:val="28"/>
        </w:rPr>
        <w:t>健康</w:t>
      </w:r>
      <w:r w:rsidRPr="005E3A4D">
        <w:rPr>
          <w:rFonts w:ascii="標楷體" w:eastAsia="標楷體" w:hAnsi="標楷體"/>
          <w:sz w:val="28"/>
          <w:szCs w:val="28"/>
        </w:rPr>
        <w:t>飲食模式，讓民眾能在購物過程中即完成營養選擇教育，展現公私協力推動健康促進的實效。</w:t>
      </w:r>
    </w:p>
    <w:p w:rsidR="003B723D" w:rsidRPr="005E3A4D" w:rsidRDefault="003B723D" w:rsidP="00FE0528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3B723D">
        <w:rPr>
          <w:rFonts w:ascii="標楷體" w:eastAsia="標楷體" w:hAnsi="標楷體" w:hint="eastAsia"/>
          <w:sz w:val="28"/>
          <w:szCs w:val="28"/>
        </w:rPr>
        <w:t>在文化層面，澎湖縣以飲食文化為媒介，積極推動社區共餐</w:t>
      </w:r>
      <w:proofErr w:type="gramStart"/>
      <w:r w:rsidRPr="003B723D">
        <w:rPr>
          <w:rFonts w:ascii="標楷體" w:eastAsia="標楷體" w:hAnsi="標楷體" w:hint="eastAsia"/>
          <w:sz w:val="28"/>
          <w:szCs w:val="28"/>
        </w:rPr>
        <w:t>與青銀共</w:t>
      </w:r>
      <w:proofErr w:type="gramEnd"/>
      <w:r w:rsidRPr="003B723D">
        <w:rPr>
          <w:rFonts w:ascii="標楷體" w:eastAsia="標楷體" w:hAnsi="標楷體" w:hint="eastAsia"/>
          <w:sz w:val="28"/>
          <w:szCs w:val="28"/>
        </w:rPr>
        <w:t>學，出版在地食譜《社區的共餐食光》，將地方特色料理轉化為營養教育素材，也藉由節慶改良菜色活動讓健康飲食深入節日傳統，如年菜改造、潤餅DIY、健康粽子</w:t>
      </w:r>
      <w:proofErr w:type="gramStart"/>
      <w:r w:rsidRPr="003B723D">
        <w:rPr>
          <w:rFonts w:ascii="標楷體" w:eastAsia="標楷體" w:hAnsi="標楷體" w:hint="eastAsia"/>
          <w:sz w:val="28"/>
          <w:szCs w:val="28"/>
        </w:rPr>
        <w:t>與冰皮月餅</w:t>
      </w:r>
      <w:proofErr w:type="gramEnd"/>
      <w:r w:rsidRPr="003B723D">
        <w:rPr>
          <w:rFonts w:ascii="標楷體" w:eastAsia="標楷體" w:hAnsi="標楷體" w:hint="eastAsia"/>
          <w:sz w:val="28"/>
          <w:szCs w:val="28"/>
        </w:rPr>
        <w:t>製作等，實踐「文化即健康」的策略。這些創新實踐不僅提升了民眾參與度，也逐步累積在地營養政策推動的社會支持基礎。</w:t>
      </w:r>
    </w:p>
    <w:p w:rsidR="00865656" w:rsidRPr="005E5693" w:rsidRDefault="005E3A4D" w:rsidP="005E5693">
      <w:pPr>
        <w:spacing w:after="0"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E3A4D">
        <w:rPr>
          <w:rFonts w:ascii="標楷體" w:eastAsia="標楷體" w:hAnsi="標楷體"/>
          <w:sz w:val="28"/>
          <w:szCs w:val="28"/>
        </w:rPr>
        <w:t>透過</w:t>
      </w:r>
      <w:proofErr w:type="gramStart"/>
      <w:r w:rsidRPr="005E3A4D">
        <w:rPr>
          <w:rFonts w:ascii="標楷體" w:eastAsia="標楷體" w:hAnsi="標楷體"/>
          <w:sz w:val="28"/>
          <w:szCs w:val="28"/>
        </w:rPr>
        <w:t>上述綜整</w:t>
      </w:r>
      <w:proofErr w:type="gramEnd"/>
      <w:r w:rsidRPr="005E3A4D">
        <w:rPr>
          <w:rFonts w:ascii="標楷體" w:eastAsia="標楷體" w:hAnsi="標楷體"/>
          <w:sz w:val="28"/>
          <w:szCs w:val="28"/>
        </w:rPr>
        <w:t>性策略，澎湖縣已逐步形成涵蓋教育、醫療、文化、產業與生活場域的多元營養照護網絡，不僅實現了中央政策的在地化執行，也為高齡友善城市建設奠定了堅實基礎。未來應持續擴展服務深度與涵蓋族群，強化差異化教育設計與行為支持措施，促使營養生活化、健康</w:t>
      </w:r>
      <w:proofErr w:type="gramStart"/>
      <w:r w:rsidRPr="005E3A4D">
        <w:rPr>
          <w:rFonts w:ascii="標楷體" w:eastAsia="標楷體" w:hAnsi="標楷體"/>
          <w:sz w:val="28"/>
          <w:szCs w:val="28"/>
        </w:rPr>
        <w:t>永續化</w:t>
      </w:r>
      <w:proofErr w:type="gramEnd"/>
      <w:r w:rsidRPr="005E3A4D">
        <w:rPr>
          <w:rFonts w:ascii="標楷體" w:eastAsia="標楷體" w:hAnsi="標楷體"/>
          <w:sz w:val="28"/>
          <w:szCs w:val="28"/>
        </w:rPr>
        <w:t>。</w:t>
      </w:r>
      <w:bookmarkStart w:id="28" w:name="_Toc198200905"/>
      <w:bookmarkStart w:id="29" w:name="_Toc198202177"/>
    </w:p>
    <w:p w:rsidR="004831E3" w:rsidRPr="00865656" w:rsidRDefault="008756CE" w:rsidP="00D130D1">
      <w:pPr>
        <w:spacing w:after="0" w:line="460" w:lineRule="exact"/>
        <w:rPr>
          <w:rFonts w:ascii="標楷體" w:eastAsia="標楷體" w:hAnsi="標楷體"/>
          <w:sz w:val="28"/>
          <w:szCs w:val="28"/>
        </w:rPr>
      </w:pPr>
      <w:r w:rsidRPr="008756C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陸、參考資料</w:t>
      </w:r>
      <w:bookmarkEnd w:id="28"/>
      <w:bookmarkEnd w:id="29"/>
    </w:p>
    <w:p w:rsidR="004831E3" w:rsidRPr="002816EB" w:rsidRDefault="00682AE7" w:rsidP="00B80792">
      <w:pPr>
        <w:spacing w:after="0" w:line="460" w:lineRule="exact"/>
        <w:ind w:leftChars="58" w:left="707" w:hangingChars="203" w:hanging="5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4831E3" w:rsidRPr="002816EB">
        <w:rPr>
          <w:rFonts w:ascii="標楷體" w:eastAsia="標楷體" w:hAnsi="標楷體" w:hint="eastAsia"/>
          <w:sz w:val="28"/>
          <w:szCs w:val="28"/>
        </w:rPr>
        <w:t>國民</w:t>
      </w:r>
      <w:proofErr w:type="gramStart"/>
      <w:r w:rsidR="004831E3" w:rsidRPr="002816EB">
        <w:rPr>
          <w:rFonts w:ascii="標楷體" w:eastAsia="標楷體" w:hAnsi="標楷體" w:hint="eastAsia"/>
          <w:sz w:val="28"/>
          <w:szCs w:val="28"/>
        </w:rPr>
        <w:t>健康署</w:t>
      </w:r>
      <w:proofErr w:type="gramEnd"/>
      <w:r w:rsidR="004831E3" w:rsidRPr="002816EB">
        <w:rPr>
          <w:rFonts w:ascii="標楷體" w:eastAsia="標楷體" w:hAnsi="標楷體" w:hint="eastAsia"/>
          <w:sz w:val="28"/>
          <w:szCs w:val="28"/>
        </w:rPr>
        <w:t>（2020）。《高齡營養政策白皮書》。台北：衛生福利部。</w:t>
      </w:r>
    </w:p>
    <w:p w:rsidR="004831E3" w:rsidRPr="002816EB" w:rsidRDefault="00682AE7" w:rsidP="00B80792">
      <w:pPr>
        <w:spacing w:after="0" w:line="460" w:lineRule="exact"/>
        <w:ind w:leftChars="58" w:left="562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4831E3" w:rsidRPr="002816EB">
        <w:rPr>
          <w:rFonts w:ascii="標楷體" w:eastAsia="標楷體" w:hAnsi="標楷體" w:hint="eastAsia"/>
          <w:sz w:val="28"/>
          <w:szCs w:val="28"/>
        </w:rPr>
        <w:t>衛生福利部（2021）。《長照2.0營養服務指引》。</w:t>
      </w:r>
    </w:p>
    <w:p w:rsidR="004831E3" w:rsidRPr="002816EB" w:rsidRDefault="00682AE7" w:rsidP="00B80792">
      <w:pPr>
        <w:spacing w:after="0" w:line="460" w:lineRule="exact"/>
        <w:ind w:leftChars="58" w:left="562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4831E3" w:rsidRPr="002816EB">
        <w:rPr>
          <w:rFonts w:ascii="標楷體" w:eastAsia="標楷體" w:hAnsi="標楷體" w:hint="eastAsia"/>
          <w:sz w:val="28"/>
          <w:szCs w:val="28"/>
        </w:rPr>
        <w:t>澎湖縣政府民政處《人口統計資料》</w:t>
      </w:r>
    </w:p>
    <w:sectPr w:rsidR="004831E3" w:rsidRPr="002816EB" w:rsidSect="00360901">
      <w:footerReference w:type="default" r:id="rId15"/>
      <w:pgSz w:w="11906" w:h="16838"/>
      <w:pgMar w:top="1440" w:right="1800" w:bottom="1440" w:left="180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41E" w:rsidRDefault="0046741E" w:rsidP="0003283F">
      <w:pPr>
        <w:spacing w:after="0" w:line="240" w:lineRule="auto"/>
      </w:pPr>
      <w:r>
        <w:separator/>
      </w:r>
    </w:p>
  </w:endnote>
  <w:endnote w:type="continuationSeparator" w:id="0">
    <w:p w:rsidR="0046741E" w:rsidRDefault="0046741E" w:rsidP="00032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712992"/>
      <w:docPartObj>
        <w:docPartGallery w:val="Page Numbers (Bottom of Page)"/>
        <w:docPartUnique/>
      </w:docPartObj>
    </w:sdtPr>
    <w:sdtContent>
      <w:p w:rsidR="00360901" w:rsidRDefault="00E04585">
        <w:pPr>
          <w:pStyle w:val="af1"/>
          <w:jc w:val="right"/>
        </w:pPr>
        <w:r>
          <w:rPr>
            <w:noProof/>
            <w:lang w:val="zh-TW"/>
          </w:rPr>
          <w:fldChar w:fldCharType="begin"/>
        </w:r>
        <w:r w:rsidR="00295BF4">
          <w:rPr>
            <w:noProof/>
            <w:lang w:val="zh-TW"/>
          </w:rPr>
          <w:instrText xml:space="preserve"> PAGE   \* MERGEFORMAT </w:instrText>
        </w:r>
        <w:r>
          <w:rPr>
            <w:noProof/>
            <w:lang w:val="zh-TW"/>
          </w:rPr>
          <w:fldChar w:fldCharType="separate"/>
        </w:r>
        <w:r w:rsidR="00DE2D14">
          <w:rPr>
            <w:noProof/>
            <w:lang w:val="zh-TW"/>
          </w:rPr>
          <w:t>10</w:t>
        </w:r>
        <w:r>
          <w:rPr>
            <w:noProof/>
            <w:lang w:val="zh-TW"/>
          </w:rPr>
          <w:fldChar w:fldCharType="end"/>
        </w:r>
      </w:p>
    </w:sdtContent>
  </w:sdt>
  <w:p w:rsidR="00360901" w:rsidRDefault="0036090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41E" w:rsidRDefault="0046741E" w:rsidP="0003283F">
      <w:pPr>
        <w:spacing w:after="0" w:line="240" w:lineRule="auto"/>
      </w:pPr>
      <w:r>
        <w:separator/>
      </w:r>
    </w:p>
  </w:footnote>
  <w:footnote w:type="continuationSeparator" w:id="0">
    <w:p w:rsidR="0046741E" w:rsidRDefault="0046741E" w:rsidP="00032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640C"/>
    <w:multiLevelType w:val="hybridMultilevel"/>
    <w:tmpl w:val="A48E6BA2"/>
    <w:lvl w:ilvl="0" w:tplc="90E2BC6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E1333B"/>
    <w:multiLevelType w:val="hybridMultilevel"/>
    <w:tmpl w:val="A48C417C"/>
    <w:lvl w:ilvl="0" w:tplc="505E8DF6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5A229A1"/>
    <w:multiLevelType w:val="hybridMultilevel"/>
    <w:tmpl w:val="4EB044FE"/>
    <w:lvl w:ilvl="0" w:tplc="2EA2467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78F1151"/>
    <w:multiLevelType w:val="hybridMultilevel"/>
    <w:tmpl w:val="F0D0057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C6920CF"/>
    <w:multiLevelType w:val="hybridMultilevel"/>
    <w:tmpl w:val="8F02BCD8"/>
    <w:lvl w:ilvl="0" w:tplc="C05032F6">
      <w:start w:val="1"/>
      <w:numFmt w:val="ideographLegalTraditional"/>
      <w:lvlText w:val="%1、"/>
      <w:lvlJc w:val="left"/>
      <w:pPr>
        <w:ind w:left="720" w:hanging="720"/>
      </w:pPr>
      <w:rPr>
        <w:rFonts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876ACD"/>
    <w:multiLevelType w:val="multilevel"/>
    <w:tmpl w:val="F5C6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90455D"/>
    <w:multiLevelType w:val="hybridMultilevel"/>
    <w:tmpl w:val="EEC217B6"/>
    <w:lvl w:ilvl="0" w:tplc="43EE96E2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06B2D96"/>
    <w:multiLevelType w:val="hybridMultilevel"/>
    <w:tmpl w:val="17186E6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6C66BDC"/>
    <w:multiLevelType w:val="hybridMultilevel"/>
    <w:tmpl w:val="4AB42D1E"/>
    <w:lvl w:ilvl="0" w:tplc="E884A234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673E1F"/>
    <w:multiLevelType w:val="hybridMultilevel"/>
    <w:tmpl w:val="38BCF366"/>
    <w:lvl w:ilvl="0" w:tplc="53CE9FF0">
      <w:start w:val="1"/>
      <w:numFmt w:val="taiwaneseCountingThousand"/>
      <w:lvlText w:val="(%1)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>
    <w:nsid w:val="4E2F2214"/>
    <w:multiLevelType w:val="multilevel"/>
    <w:tmpl w:val="4574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1C63E6"/>
    <w:multiLevelType w:val="hybridMultilevel"/>
    <w:tmpl w:val="62666AA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37614B0"/>
    <w:multiLevelType w:val="hybridMultilevel"/>
    <w:tmpl w:val="A942F35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E4F4D4D"/>
    <w:multiLevelType w:val="hybridMultilevel"/>
    <w:tmpl w:val="B0C2941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FF84A4D"/>
    <w:multiLevelType w:val="hybridMultilevel"/>
    <w:tmpl w:val="64D480DE"/>
    <w:lvl w:ilvl="0" w:tplc="C3A05648">
      <w:start w:val="1"/>
      <w:numFmt w:val="ideographLegalTraditional"/>
      <w:lvlText w:val="%1、"/>
      <w:lvlJc w:val="left"/>
      <w:pPr>
        <w:ind w:left="720" w:hanging="720"/>
      </w:pPr>
      <w:rPr>
        <w:rFonts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5"/>
  </w:num>
  <w:num w:numId="5">
    <w:abstractNumId w:val="0"/>
  </w:num>
  <w:num w:numId="6">
    <w:abstractNumId w:val="3"/>
  </w:num>
  <w:num w:numId="7">
    <w:abstractNumId w:val="13"/>
  </w:num>
  <w:num w:numId="8">
    <w:abstractNumId w:val="9"/>
  </w:num>
  <w:num w:numId="9">
    <w:abstractNumId w:val="2"/>
  </w:num>
  <w:num w:numId="10">
    <w:abstractNumId w:val="11"/>
  </w:num>
  <w:num w:numId="11">
    <w:abstractNumId w:val="4"/>
  </w:num>
  <w:num w:numId="12">
    <w:abstractNumId w:val="12"/>
  </w:num>
  <w:num w:numId="13">
    <w:abstractNumId w:val="6"/>
  </w:num>
  <w:num w:numId="14">
    <w:abstractNumId w:val="7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586C"/>
    <w:rsid w:val="00015F9A"/>
    <w:rsid w:val="00023F58"/>
    <w:rsid w:val="0003283F"/>
    <w:rsid w:val="00076802"/>
    <w:rsid w:val="000A6577"/>
    <w:rsid w:val="000B01F9"/>
    <w:rsid w:val="000B5E84"/>
    <w:rsid w:val="000C0E39"/>
    <w:rsid w:val="000C100B"/>
    <w:rsid w:val="000E3F28"/>
    <w:rsid w:val="000F0FB9"/>
    <w:rsid w:val="000F26FD"/>
    <w:rsid w:val="000F4B52"/>
    <w:rsid w:val="00102166"/>
    <w:rsid w:val="00106B43"/>
    <w:rsid w:val="00114288"/>
    <w:rsid w:val="001433C8"/>
    <w:rsid w:val="0015399E"/>
    <w:rsid w:val="00166C1A"/>
    <w:rsid w:val="00187C18"/>
    <w:rsid w:val="001A62AD"/>
    <w:rsid w:val="001C50E1"/>
    <w:rsid w:val="00206F27"/>
    <w:rsid w:val="002301F8"/>
    <w:rsid w:val="00231E2E"/>
    <w:rsid w:val="00234F6F"/>
    <w:rsid w:val="0024135C"/>
    <w:rsid w:val="00251260"/>
    <w:rsid w:val="002620F7"/>
    <w:rsid w:val="002722AD"/>
    <w:rsid w:val="002816EB"/>
    <w:rsid w:val="00295BF4"/>
    <w:rsid w:val="00314414"/>
    <w:rsid w:val="00314E19"/>
    <w:rsid w:val="00325092"/>
    <w:rsid w:val="00342D26"/>
    <w:rsid w:val="00343F27"/>
    <w:rsid w:val="00351191"/>
    <w:rsid w:val="00360901"/>
    <w:rsid w:val="00361FA0"/>
    <w:rsid w:val="003B723D"/>
    <w:rsid w:val="003D775A"/>
    <w:rsid w:val="003E1142"/>
    <w:rsid w:val="00411637"/>
    <w:rsid w:val="0044455C"/>
    <w:rsid w:val="0044560A"/>
    <w:rsid w:val="004618CE"/>
    <w:rsid w:val="00466C76"/>
    <w:rsid w:val="00467378"/>
    <w:rsid w:val="0046741E"/>
    <w:rsid w:val="004831E3"/>
    <w:rsid w:val="00501AD9"/>
    <w:rsid w:val="005347BF"/>
    <w:rsid w:val="00563DCE"/>
    <w:rsid w:val="00564432"/>
    <w:rsid w:val="00570E75"/>
    <w:rsid w:val="00585B48"/>
    <w:rsid w:val="005A0AEA"/>
    <w:rsid w:val="005E3A4D"/>
    <w:rsid w:val="005E5693"/>
    <w:rsid w:val="00614396"/>
    <w:rsid w:val="0062419F"/>
    <w:rsid w:val="00663EC9"/>
    <w:rsid w:val="0066586C"/>
    <w:rsid w:val="00682AE7"/>
    <w:rsid w:val="00684DBC"/>
    <w:rsid w:val="006A3A8E"/>
    <w:rsid w:val="006B7AD1"/>
    <w:rsid w:val="006D154A"/>
    <w:rsid w:val="006E631A"/>
    <w:rsid w:val="00740E87"/>
    <w:rsid w:val="007534D5"/>
    <w:rsid w:val="00757967"/>
    <w:rsid w:val="007819A4"/>
    <w:rsid w:val="007955DF"/>
    <w:rsid w:val="007C4CFC"/>
    <w:rsid w:val="0083565C"/>
    <w:rsid w:val="008405D8"/>
    <w:rsid w:val="00843963"/>
    <w:rsid w:val="00844F8B"/>
    <w:rsid w:val="00862400"/>
    <w:rsid w:val="00865656"/>
    <w:rsid w:val="008744D5"/>
    <w:rsid w:val="008756CE"/>
    <w:rsid w:val="0088250F"/>
    <w:rsid w:val="008835AE"/>
    <w:rsid w:val="008B43B7"/>
    <w:rsid w:val="008C11EC"/>
    <w:rsid w:val="008D0EAD"/>
    <w:rsid w:val="008D5BAF"/>
    <w:rsid w:val="008D7F06"/>
    <w:rsid w:val="008E4C31"/>
    <w:rsid w:val="008F4E2B"/>
    <w:rsid w:val="009159F0"/>
    <w:rsid w:val="009339A1"/>
    <w:rsid w:val="009372E2"/>
    <w:rsid w:val="009428A9"/>
    <w:rsid w:val="00956772"/>
    <w:rsid w:val="00960A5A"/>
    <w:rsid w:val="00962AE9"/>
    <w:rsid w:val="00967EAF"/>
    <w:rsid w:val="00975D1A"/>
    <w:rsid w:val="009850F7"/>
    <w:rsid w:val="009C3A1A"/>
    <w:rsid w:val="009E7EAB"/>
    <w:rsid w:val="00A02612"/>
    <w:rsid w:val="00A0671E"/>
    <w:rsid w:val="00A71E88"/>
    <w:rsid w:val="00A762BA"/>
    <w:rsid w:val="00AC20E1"/>
    <w:rsid w:val="00AC2D0F"/>
    <w:rsid w:val="00AD5DE1"/>
    <w:rsid w:val="00B41C80"/>
    <w:rsid w:val="00B45D5E"/>
    <w:rsid w:val="00B63CA7"/>
    <w:rsid w:val="00B80792"/>
    <w:rsid w:val="00B92DD4"/>
    <w:rsid w:val="00BA1FB5"/>
    <w:rsid w:val="00BD0DCE"/>
    <w:rsid w:val="00BF6B75"/>
    <w:rsid w:val="00C12C13"/>
    <w:rsid w:val="00C24834"/>
    <w:rsid w:val="00C25D8A"/>
    <w:rsid w:val="00C3483F"/>
    <w:rsid w:val="00C602AF"/>
    <w:rsid w:val="00C749C7"/>
    <w:rsid w:val="00C96AED"/>
    <w:rsid w:val="00CA7211"/>
    <w:rsid w:val="00CF44AC"/>
    <w:rsid w:val="00D02DA5"/>
    <w:rsid w:val="00D04D9D"/>
    <w:rsid w:val="00D06388"/>
    <w:rsid w:val="00D130D1"/>
    <w:rsid w:val="00D375A9"/>
    <w:rsid w:val="00D5453B"/>
    <w:rsid w:val="00D60089"/>
    <w:rsid w:val="00D7395C"/>
    <w:rsid w:val="00D931DF"/>
    <w:rsid w:val="00DB6826"/>
    <w:rsid w:val="00DE01FC"/>
    <w:rsid w:val="00DE2D14"/>
    <w:rsid w:val="00DE552F"/>
    <w:rsid w:val="00DE6D8E"/>
    <w:rsid w:val="00E04585"/>
    <w:rsid w:val="00E17570"/>
    <w:rsid w:val="00E203FC"/>
    <w:rsid w:val="00E274BE"/>
    <w:rsid w:val="00E34FD0"/>
    <w:rsid w:val="00EF56AC"/>
    <w:rsid w:val="00F34C54"/>
    <w:rsid w:val="00F376BE"/>
    <w:rsid w:val="00F6038C"/>
    <w:rsid w:val="00F70F28"/>
    <w:rsid w:val="00F7657E"/>
    <w:rsid w:val="00F904B4"/>
    <w:rsid w:val="00FB6880"/>
    <w:rsid w:val="00FC034F"/>
    <w:rsid w:val="00FC0C7F"/>
    <w:rsid w:val="00FC3214"/>
    <w:rsid w:val="00FD2D9E"/>
    <w:rsid w:val="00FD5FD1"/>
    <w:rsid w:val="00FE0528"/>
    <w:rsid w:val="00FE2FCE"/>
    <w:rsid w:val="00FE5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F2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58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86C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86C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8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86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86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86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86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6586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658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6586C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658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6586C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6586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6586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6586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658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58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65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8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658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5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658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58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58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58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658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586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34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E01FC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</w:rPr>
  </w:style>
  <w:style w:type="paragraph" w:styleId="af">
    <w:name w:val="header"/>
    <w:basedOn w:val="a"/>
    <w:link w:val="af0"/>
    <w:uiPriority w:val="99"/>
    <w:unhideWhenUsed/>
    <w:rsid w:val="000328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03283F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0328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03283F"/>
    <w:rPr>
      <w:sz w:val="20"/>
      <w:szCs w:val="20"/>
    </w:rPr>
  </w:style>
  <w:style w:type="character" w:styleId="af3">
    <w:name w:val="Strong"/>
    <w:basedOn w:val="a0"/>
    <w:uiPriority w:val="22"/>
    <w:qFormat/>
    <w:rsid w:val="0003283F"/>
    <w:rPr>
      <w:b/>
      <w:bCs/>
    </w:rPr>
  </w:style>
  <w:style w:type="table" w:customStyle="1" w:styleId="31">
    <w:name w:val="純表格 31"/>
    <w:basedOn w:val="a1"/>
    <w:uiPriority w:val="43"/>
    <w:rsid w:val="00A026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-31">
    <w:name w:val="格線表格 1 淺色 - 輔色 31"/>
    <w:basedOn w:val="a1"/>
    <w:uiPriority w:val="46"/>
    <w:rsid w:val="00A026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4">
    <w:name w:val="Balloon Text"/>
    <w:basedOn w:val="a"/>
    <w:link w:val="af5"/>
    <w:uiPriority w:val="99"/>
    <w:semiHidden/>
    <w:unhideWhenUsed/>
    <w:rsid w:val="00D0638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D06388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TOC Heading"/>
    <w:basedOn w:val="1"/>
    <w:next w:val="a"/>
    <w:uiPriority w:val="39"/>
    <w:semiHidden/>
    <w:unhideWhenUsed/>
    <w:qFormat/>
    <w:rsid w:val="00360901"/>
    <w:pPr>
      <w:widowControl/>
      <w:spacing w:after="0" w:line="276" w:lineRule="auto"/>
      <w:outlineLvl w:val="9"/>
    </w:pPr>
    <w:rPr>
      <w:b/>
      <w:bCs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8D7F06"/>
    <w:pPr>
      <w:tabs>
        <w:tab w:val="right" w:leader="dot" w:pos="8296"/>
      </w:tabs>
      <w:spacing w:line="460" w:lineRule="exact"/>
    </w:pPr>
    <w:rPr>
      <w:rFonts w:ascii="標楷體" w:eastAsia="標楷體" w:hAnsi="標楷體"/>
      <w:b/>
      <w:bCs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563DCE"/>
    <w:pPr>
      <w:ind w:leftChars="200" w:left="480"/>
    </w:pPr>
  </w:style>
  <w:style w:type="character" w:styleId="af7">
    <w:name w:val="Hyperlink"/>
    <w:basedOn w:val="a0"/>
    <w:uiPriority w:val="99"/>
    <w:unhideWhenUsed/>
    <w:rsid w:val="00563DCE"/>
    <w:rPr>
      <w:color w:val="0563C1" w:themeColor="hyperlink"/>
      <w:u w:val="single"/>
    </w:rPr>
  </w:style>
  <w:style w:type="paragraph" w:styleId="af8">
    <w:name w:val="No Spacing"/>
    <w:uiPriority w:val="1"/>
    <w:qFormat/>
    <w:rsid w:val="008F4E2B"/>
    <w:pPr>
      <w:widowControl w:val="0"/>
      <w:spacing w:after="0" w:line="240" w:lineRule="auto"/>
    </w:pPr>
  </w:style>
  <w:style w:type="paragraph" w:styleId="Web">
    <w:name w:val="Normal (Web)"/>
    <w:basedOn w:val="a"/>
    <w:uiPriority w:val="99"/>
    <w:semiHidden/>
    <w:unhideWhenUsed/>
    <w:rsid w:val="00D130D1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8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vert="horz"/>
          <a:lstStyle/>
          <a:p>
            <a:pPr>
              <a:defRPr/>
            </a:pPr>
            <a:r>
              <a:rPr lang="zh-TW" altLang="en-US" sz="1400"/>
              <a:t>老化指數（</a:t>
            </a:r>
            <a:r>
              <a:rPr lang="en-US" altLang="zh-TW" sz="1400"/>
              <a:t>%</a:t>
            </a:r>
            <a:r>
              <a:rPr lang="zh-TW" altLang="en-US" sz="1400"/>
              <a:t>）</a:t>
            </a:r>
          </a:p>
        </c:rich>
      </c:tx>
      <c:spPr>
        <a:noFill/>
        <a:ln>
          <a:noFill/>
        </a:ln>
        <a:effectLst/>
      </c:spPr>
    </c:title>
    <c:plotArea>
      <c:layout/>
      <c:lineChart>
        <c:grouping val="standard"/>
        <c:ser>
          <c:idx val="0"/>
          <c:order val="0"/>
          <c:tx>
            <c:strRef>
              <c:f>工作表1!$B$1</c:f>
              <c:strCache>
                <c:ptCount val="1"/>
                <c:pt idx="0">
                  <c:v>老化指數（%）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zh-TW"/>
              </a:p>
            </c:txPr>
            <c:dLblPos val="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工作表1!$A$2:$A$6</c:f>
              <c:strCache>
                <c:ptCount val="5"/>
                <c:pt idx="0">
                  <c:v>109年</c:v>
                </c:pt>
                <c:pt idx="1">
                  <c:v>110年</c:v>
                </c:pt>
                <c:pt idx="2">
                  <c:v>111年</c:v>
                </c:pt>
                <c:pt idx="3">
                  <c:v>112年</c:v>
                </c:pt>
                <c:pt idx="4">
                  <c:v>113年</c:v>
                </c:pt>
              </c:strCache>
            </c:strRef>
          </c:cat>
          <c:val>
            <c:numRef>
              <c:f>工作表1!$B$2:$B$6</c:f>
              <c:numCache>
                <c:formatCode>General</c:formatCode>
                <c:ptCount val="5"/>
                <c:pt idx="0">
                  <c:v>165.7</c:v>
                </c:pt>
                <c:pt idx="1">
                  <c:v>175.4</c:v>
                </c:pt>
                <c:pt idx="2">
                  <c:v>184.1</c:v>
                </c:pt>
                <c:pt idx="3">
                  <c:v>194.3</c:v>
                </c:pt>
                <c:pt idx="4">
                  <c:v>207.4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0F4-472A-A76E-92846CF19391}"/>
            </c:ext>
          </c:extLst>
        </c:ser>
        <c:dLbls>
          <c:showVal val="1"/>
        </c:dLbls>
        <c:marker val="1"/>
        <c:axId val="45617920"/>
        <c:axId val="45621248"/>
      </c:lineChart>
      <c:catAx>
        <c:axId val="4561792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45621248"/>
        <c:crosses val="autoZero"/>
        <c:auto val="1"/>
        <c:lblAlgn val="ctr"/>
        <c:lblOffset val="100"/>
      </c:catAx>
      <c:valAx>
        <c:axId val="4562124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45617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zh-TW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標楷體" panose="03000509000000000000" pitchFamily="65" charset="-120"/>
          <a:ea typeface="標楷體" panose="03000509000000000000" pitchFamily="65" charset="-120"/>
        </a:defRPr>
      </a:pPr>
      <a:endParaRPr lang="zh-TW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vert="horz"/>
          <a:lstStyle/>
          <a:p>
            <a:pPr>
              <a:defRPr sz="1400"/>
            </a:pPr>
            <a:r>
              <a:rPr lang="zh-TW" sz="1400"/>
              <a:t>澎湖縣老年人口數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stacked"/>
        <c:ser>
          <c:idx val="0"/>
          <c:order val="0"/>
          <c:tx>
            <c:strRef>
              <c:f>工作表1!$B$1</c:f>
              <c:strCache>
                <c:ptCount val="1"/>
                <c:pt idx="0">
                  <c:v>老年人口數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dLbl>
              <c:idx val="0"/>
              <c:layout>
                <c:manualLayout>
                  <c:x val="-4.0470466992381958E-17"/>
                  <c:y val="-0.16373705754875983"/>
                </c:manualLayout>
              </c:layout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B24-4FDA-AF28-239A432B225B}"/>
                </c:ext>
              </c:extLst>
            </c:dLbl>
            <c:dLbl>
              <c:idx val="1"/>
              <c:layout>
                <c:manualLayout>
                  <c:x val="0"/>
                  <c:y val="-0.18781603660004856"/>
                </c:manualLayout>
              </c:layout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B24-4FDA-AF28-239A432B225B}"/>
                </c:ext>
              </c:extLst>
            </c:dLbl>
            <c:dLbl>
              <c:idx val="2"/>
              <c:layout>
                <c:manualLayout>
                  <c:x val="0"/>
                  <c:y val="-0.23115819889236769"/>
                </c:manualLayout>
              </c:layout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B24-4FDA-AF28-239A432B225B}"/>
                </c:ext>
              </c:extLst>
            </c:dLbl>
            <c:dLbl>
              <c:idx val="3"/>
              <c:layout>
                <c:manualLayout>
                  <c:x val="-4.4150110375275895E-3"/>
                  <c:y val="-0.27931615699494489"/>
                </c:manualLayout>
              </c:layout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B24-4FDA-AF28-239A432B225B}"/>
                </c:ext>
              </c:extLst>
            </c:dLbl>
            <c:dLbl>
              <c:idx val="4"/>
              <c:layout>
                <c:manualLayout>
                  <c:x val="-1.6188186796952785E-16"/>
                  <c:y val="-0.31302672766674838"/>
                </c:manualLayout>
              </c:layout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B24-4FDA-AF28-239A432B225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zh-TW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工作表1!$A$2:$A$6</c:f>
              <c:strCache>
                <c:ptCount val="5"/>
                <c:pt idx="0">
                  <c:v>109年</c:v>
                </c:pt>
                <c:pt idx="1">
                  <c:v>110年</c:v>
                </c:pt>
                <c:pt idx="2">
                  <c:v>111年</c:v>
                </c:pt>
                <c:pt idx="3">
                  <c:v>112年</c:v>
                </c:pt>
                <c:pt idx="4">
                  <c:v>113年</c:v>
                </c:pt>
              </c:strCache>
            </c:strRef>
          </c:cat>
          <c:val>
            <c:numRef>
              <c:f>工作表1!$B$2:$B$6</c:f>
              <c:numCache>
                <c:formatCode>General</c:formatCode>
                <c:ptCount val="5"/>
                <c:pt idx="0">
                  <c:v>18106</c:v>
                </c:pt>
                <c:pt idx="1">
                  <c:v>18823</c:v>
                </c:pt>
                <c:pt idx="2">
                  <c:v>19581</c:v>
                </c:pt>
                <c:pt idx="3">
                  <c:v>20433</c:v>
                </c:pt>
                <c:pt idx="4">
                  <c:v>21475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B24-4FDA-AF28-239A432B225B}"/>
            </c:ext>
          </c:extLst>
        </c:ser>
        <c:dLbls>
          <c:showVal val="1"/>
        </c:dLbls>
        <c:gapWidth val="219"/>
        <c:overlap val="100"/>
        <c:axId val="183092736"/>
        <c:axId val="183173504"/>
      </c:barChart>
      <c:catAx>
        <c:axId val="18309273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83173504"/>
        <c:crosses val="autoZero"/>
        <c:auto val="1"/>
        <c:lblAlgn val="ctr"/>
        <c:lblOffset val="100"/>
      </c:catAx>
      <c:valAx>
        <c:axId val="18317350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83092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zh-TW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標楷體" panose="03000509000000000000" pitchFamily="65" charset="-120"/>
          <a:ea typeface="標楷體" panose="03000509000000000000" pitchFamily="65" charset="-120"/>
        </a:defRPr>
      </a:pPr>
      <a:endParaRPr lang="zh-TW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plotArea>
      <c:layout/>
      <c:barChart>
        <c:barDir val="bar"/>
        <c:grouping val="stacked"/>
        <c:ser>
          <c:idx val="0"/>
          <c:order val="0"/>
          <c:tx>
            <c:strRef>
              <c:f>Sheet1!$B$1</c:f>
              <c:strCache>
                <c:ptCount val="1"/>
                <c:pt idx="0">
                  <c:v>答對</c:v>
                </c:pt>
              </c:strCache>
            </c:strRef>
          </c:tx>
          <c:cat>
            <c:strRef>
              <c:f>Sheet1!$A$2:$A$11</c:f>
              <c:strCache>
                <c:ptCount val="10"/>
                <c:pt idx="0">
                  <c:v>第一題</c:v>
                </c:pt>
                <c:pt idx="1">
                  <c:v>第二題</c:v>
                </c:pt>
                <c:pt idx="2">
                  <c:v>第三題</c:v>
                </c:pt>
                <c:pt idx="3">
                  <c:v>第四題</c:v>
                </c:pt>
                <c:pt idx="4">
                  <c:v>第五題</c:v>
                </c:pt>
                <c:pt idx="5">
                  <c:v>第六題</c:v>
                </c:pt>
                <c:pt idx="6">
                  <c:v>第七題</c:v>
                </c:pt>
                <c:pt idx="7">
                  <c:v>第八題</c:v>
                </c:pt>
                <c:pt idx="8">
                  <c:v>第九題</c:v>
                </c:pt>
                <c:pt idx="9">
                  <c:v>第十題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408</c:v>
                </c:pt>
                <c:pt idx="1">
                  <c:v>342</c:v>
                </c:pt>
                <c:pt idx="2">
                  <c:v>371</c:v>
                </c:pt>
                <c:pt idx="3">
                  <c:v>377</c:v>
                </c:pt>
                <c:pt idx="4">
                  <c:v>411</c:v>
                </c:pt>
                <c:pt idx="5">
                  <c:v>368</c:v>
                </c:pt>
                <c:pt idx="6">
                  <c:v>260</c:v>
                </c:pt>
                <c:pt idx="7">
                  <c:v>294</c:v>
                </c:pt>
                <c:pt idx="8">
                  <c:v>404</c:v>
                </c:pt>
                <c:pt idx="9">
                  <c:v>421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答錯</c:v>
                </c:pt>
              </c:strCache>
            </c:strRef>
          </c:tx>
          <c:cat>
            <c:strRef>
              <c:f>Sheet1!$A$2:$A$11</c:f>
              <c:strCache>
                <c:ptCount val="10"/>
                <c:pt idx="0">
                  <c:v>第一題</c:v>
                </c:pt>
                <c:pt idx="1">
                  <c:v>第二題</c:v>
                </c:pt>
                <c:pt idx="2">
                  <c:v>第三題</c:v>
                </c:pt>
                <c:pt idx="3">
                  <c:v>第四題</c:v>
                </c:pt>
                <c:pt idx="4">
                  <c:v>第五題</c:v>
                </c:pt>
                <c:pt idx="5">
                  <c:v>第六題</c:v>
                </c:pt>
                <c:pt idx="6">
                  <c:v>第七題</c:v>
                </c:pt>
                <c:pt idx="7">
                  <c:v>第八題</c:v>
                </c:pt>
                <c:pt idx="8">
                  <c:v>第九題</c:v>
                </c:pt>
                <c:pt idx="9">
                  <c:v>第十題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  <c:pt idx="0">
                  <c:v>32</c:v>
                </c:pt>
                <c:pt idx="1">
                  <c:v>98</c:v>
                </c:pt>
                <c:pt idx="2">
                  <c:v>69</c:v>
                </c:pt>
                <c:pt idx="3">
                  <c:v>63</c:v>
                </c:pt>
                <c:pt idx="4">
                  <c:v>29</c:v>
                </c:pt>
                <c:pt idx="5">
                  <c:v>72</c:v>
                </c:pt>
                <c:pt idx="6">
                  <c:v>180</c:v>
                </c:pt>
                <c:pt idx="7">
                  <c:v>146</c:v>
                </c:pt>
                <c:pt idx="8">
                  <c:v>36</c:v>
                </c:pt>
                <c:pt idx="9">
                  <c:v>19</c:v>
                </c:pt>
              </c:numCache>
            </c:numRef>
          </c:val>
        </c:ser>
        <c:overlap val="100"/>
        <c:axId val="90707072"/>
        <c:axId val="90708608"/>
      </c:barChart>
      <c:catAx>
        <c:axId val="90707072"/>
        <c:scaling>
          <c:orientation val="minMax"/>
        </c:scaling>
        <c:axPos val="l"/>
        <c:tickLblPos val="nextTo"/>
        <c:crossAx val="90708608"/>
        <c:crosses val="autoZero"/>
        <c:auto val="1"/>
        <c:lblAlgn val="ctr"/>
        <c:lblOffset val="100"/>
      </c:catAx>
      <c:valAx>
        <c:axId val="90708608"/>
        <c:scaling>
          <c:orientation val="minMax"/>
        </c:scaling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TW" sz="1000" b="0" i="0" u="none" strike="noStrike" baseline="0"/>
                  <a:t>112</a:t>
                </a:r>
                <a:r>
                  <a:rPr lang="zh-TW" altLang="zh-TW" sz="1000" b="0" i="0" u="none" strike="noStrike" baseline="0"/>
                  <a:t>年營養認知問卷答對錯人數</a:t>
                </a:r>
                <a:endParaRPr lang="zh-TW" altLang="en-US" b="0"/>
              </a:p>
            </c:rich>
          </c:tx>
        </c:title>
        <c:numFmt formatCode="General" sourceLinked="1"/>
        <c:tickLblPos val="nextTo"/>
        <c:crossAx val="90707072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>
          <a:latin typeface="標楷體" pitchFamily="65" charset="-120"/>
          <a:ea typeface="標楷體" pitchFamily="65" charset="-120"/>
        </a:defRPr>
      </a:pPr>
      <a:endParaRPr lang="zh-TW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autoTitleDeleted val="1"/>
    <c:plotArea>
      <c:layout>
        <c:manualLayout>
          <c:layoutTarget val="inner"/>
          <c:xMode val="edge"/>
          <c:yMode val="edge"/>
          <c:x val="0.12950500125365738"/>
          <c:y val="5.1719583183716632E-2"/>
          <c:w val="0.60711285261321801"/>
          <c:h val="0.86956183013312927"/>
        </c:manualLayout>
      </c:layout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每日蔬菜攝取達3份</c:v>
                </c:pt>
              </c:strCache>
            </c:strRef>
          </c:tx>
          <c:spPr>
            <a:solidFill>
              <a:srgbClr val="92D050"/>
            </a:solidFill>
          </c:spPr>
          <c:dLbls>
            <c:dLblPos val="inEnd"/>
            <c:showVal val="1"/>
          </c:dLbls>
          <c:cat>
            <c:strRef>
              <c:f>Sheet1!$A$2:$A$3</c:f>
              <c:strCache>
                <c:ptCount val="2"/>
                <c:pt idx="0">
                  <c:v>2013~2016年國民營養健康狀況變遷調查</c:v>
                </c:pt>
                <c:pt idx="1">
                  <c:v>2017~2020年國民營養健康狀況變遷調查</c:v>
                </c:pt>
              </c:strCache>
            </c:strRef>
          </c:cat>
          <c:val>
            <c:numRef>
              <c:f>Sheet1!$B$2:$B$3</c:f>
              <c:numCache>
                <c:formatCode>0.00%</c:formatCode>
                <c:ptCount val="2"/>
                <c:pt idx="0">
                  <c:v>0.20900000000000013</c:v>
                </c:pt>
                <c:pt idx="1">
                  <c:v>0.30100000000000032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每日水果攝取達2份</c:v>
                </c:pt>
              </c:strCache>
            </c:strRef>
          </c:tx>
          <c:spPr>
            <a:solidFill>
              <a:srgbClr val="FFC000"/>
            </a:solidFill>
          </c:spPr>
          <c:dLbls>
            <c:dLblPos val="inEnd"/>
            <c:showVal val="1"/>
          </c:dLbls>
          <c:cat>
            <c:strRef>
              <c:f>Sheet1!$A$2:$A$3</c:f>
              <c:strCache>
                <c:ptCount val="2"/>
                <c:pt idx="0">
                  <c:v>2013~2016年國民營養健康狀況變遷調查</c:v>
                </c:pt>
                <c:pt idx="1">
                  <c:v>2017~2020年國民營養健康狀況變遷調查</c:v>
                </c:pt>
              </c:strCache>
            </c:strRef>
          </c:cat>
          <c:val>
            <c:numRef>
              <c:f>Sheet1!$C$2:$C$3</c:f>
              <c:numCache>
                <c:formatCode>0.00%</c:formatCode>
                <c:ptCount val="2"/>
                <c:pt idx="0">
                  <c:v>0.13400000000000001</c:v>
                </c:pt>
                <c:pt idx="1">
                  <c:v>0.17800000000000013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乳品類攝取不足1份</c:v>
                </c:pt>
              </c:strCache>
            </c:strRef>
          </c:tx>
          <c:spPr>
            <a:solidFill>
              <a:srgbClr val="00B0F0"/>
            </a:solidFill>
          </c:spPr>
          <c:dLbls>
            <c:dLblPos val="inEnd"/>
            <c:showVal val="1"/>
          </c:dLbls>
          <c:cat>
            <c:strRef>
              <c:f>Sheet1!$A$2:$A$3</c:f>
              <c:strCache>
                <c:ptCount val="2"/>
                <c:pt idx="0">
                  <c:v>2013~2016年國民營養健康狀況變遷調查</c:v>
                </c:pt>
                <c:pt idx="1">
                  <c:v>2017~2020年國民營養健康狀況變遷調查</c:v>
                </c:pt>
              </c:strCache>
            </c:strRef>
          </c:cat>
          <c:val>
            <c:numRef>
              <c:f>Sheet1!$D$2:$D$3</c:f>
              <c:numCache>
                <c:formatCode>0%</c:formatCode>
                <c:ptCount val="2"/>
                <c:pt idx="0" formatCode="0.00%">
                  <c:v>0.82600000000000051</c:v>
                </c:pt>
                <c:pt idx="1">
                  <c:v>0.92</c:v>
                </c:pt>
              </c:numCache>
            </c:numRef>
          </c:val>
        </c:ser>
        <c:dLbls>
          <c:showVal val="1"/>
        </c:dLbls>
        <c:axId val="91071232"/>
        <c:axId val="91072768"/>
      </c:barChart>
      <c:catAx>
        <c:axId val="91071232"/>
        <c:scaling>
          <c:orientation val="minMax"/>
        </c:scaling>
        <c:axPos val="b"/>
        <c:tickLblPos val="nextTo"/>
        <c:txPr>
          <a:bodyPr/>
          <a:lstStyle/>
          <a:p>
            <a:pPr>
              <a:defRPr sz="600"/>
            </a:pPr>
            <a:endParaRPr lang="zh-TW"/>
          </a:p>
        </c:txPr>
        <c:crossAx val="91072768"/>
        <c:crosses val="autoZero"/>
        <c:auto val="1"/>
        <c:lblAlgn val="ctr"/>
        <c:lblOffset val="100"/>
      </c:catAx>
      <c:valAx>
        <c:axId val="91072768"/>
        <c:scaling>
          <c:orientation val="minMax"/>
        </c:scaling>
        <c:axPos val="l"/>
        <c:majorGridlines/>
        <c:numFmt formatCode="0.00%" sourceLinked="1"/>
        <c:tickLblPos val="nextTo"/>
        <c:crossAx val="910712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456192601616249"/>
          <c:y val="0.39273808183203152"/>
          <c:w val="0.18963514521584995"/>
          <c:h val="0.34044977800063886"/>
        </c:manualLayout>
      </c:layout>
    </c:legend>
    <c:plotVisOnly val="1"/>
  </c:chart>
  <c:txPr>
    <a:bodyPr/>
    <a:lstStyle/>
    <a:p>
      <a:pPr>
        <a:defRPr>
          <a:latin typeface="標楷體" pitchFamily="65" charset="-120"/>
          <a:ea typeface="標楷體" pitchFamily="65" charset="-120"/>
        </a:defRPr>
      </a:pPr>
      <a:endParaRPr lang="zh-TW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autoTitleDeleted val="1"/>
    <c:plotArea>
      <c:layout>
        <c:manualLayout>
          <c:layoutTarget val="inner"/>
          <c:xMode val="edge"/>
          <c:yMode val="edge"/>
          <c:x val="0.12958731874223373"/>
          <c:y val="5.2723842584403283E-2"/>
          <c:w val="0.64112456389811012"/>
          <c:h val="0.86702906110767364"/>
        </c:manualLayout>
      </c:layout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每日蔬菜攝取達3份</c:v>
                </c:pt>
              </c:strCache>
            </c:strRef>
          </c:tx>
          <c:spPr>
            <a:solidFill>
              <a:srgbClr val="92D050"/>
            </a:solidFill>
          </c:spPr>
          <c:dLbls>
            <c:dLblPos val="inEnd"/>
            <c:showVal val="1"/>
          </c:dLbls>
          <c:cat>
            <c:strRef>
              <c:f>Sheet1!$A$2:$A$3</c:f>
              <c:strCache>
                <c:ptCount val="2"/>
                <c:pt idx="0">
                  <c:v>2013~2016年國民營養健康狀況變遷調查</c:v>
                </c:pt>
                <c:pt idx="1">
                  <c:v>2017~2020年國民營養健康狀況變遷調查</c:v>
                </c:pt>
              </c:strCache>
            </c:strRef>
          </c:cat>
          <c:val>
            <c:numRef>
              <c:f>Sheet1!$B$2:$B$3</c:f>
              <c:numCache>
                <c:formatCode>0.00%</c:formatCode>
                <c:ptCount val="2"/>
                <c:pt idx="0">
                  <c:v>0.19800000000000001</c:v>
                </c:pt>
                <c:pt idx="1">
                  <c:v>0.30300000000000032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每日水果攝取達2份</c:v>
                </c:pt>
              </c:strCache>
            </c:strRef>
          </c:tx>
          <c:spPr>
            <a:solidFill>
              <a:srgbClr val="FFC000"/>
            </a:solidFill>
          </c:spPr>
          <c:dLbls>
            <c:dLblPos val="inEnd"/>
            <c:showVal val="1"/>
          </c:dLbls>
          <c:cat>
            <c:strRef>
              <c:f>Sheet1!$A$2:$A$3</c:f>
              <c:strCache>
                <c:ptCount val="2"/>
                <c:pt idx="0">
                  <c:v>2013~2016年國民營養健康狀況變遷調查</c:v>
                </c:pt>
                <c:pt idx="1">
                  <c:v>2017~2020年國民營養健康狀況變遷調查</c:v>
                </c:pt>
              </c:strCache>
            </c:strRef>
          </c:cat>
          <c:val>
            <c:numRef>
              <c:f>Sheet1!$C$2:$C$3</c:f>
              <c:numCache>
                <c:formatCode>0.00%</c:formatCode>
                <c:ptCount val="2"/>
                <c:pt idx="0">
                  <c:v>8.8000000000000064E-2</c:v>
                </c:pt>
                <c:pt idx="1">
                  <c:v>0.10900000000000007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乳品類攝取不足1份</c:v>
                </c:pt>
              </c:strCache>
            </c:strRef>
          </c:tx>
          <c:spPr>
            <a:solidFill>
              <a:srgbClr val="00B0F0"/>
            </a:solidFill>
          </c:spPr>
          <c:dLbls>
            <c:dLblPos val="inEnd"/>
            <c:showVal val="1"/>
          </c:dLbls>
          <c:cat>
            <c:strRef>
              <c:f>Sheet1!$A$2:$A$3</c:f>
              <c:strCache>
                <c:ptCount val="2"/>
                <c:pt idx="0">
                  <c:v>2013~2016年國民營養健康狀況變遷調查</c:v>
                </c:pt>
                <c:pt idx="1">
                  <c:v>2017~2020年國民營養健康狀況變遷調查</c:v>
                </c:pt>
              </c:strCache>
            </c:strRef>
          </c:cat>
          <c:val>
            <c:numRef>
              <c:f>Sheet1!$D$2:$D$3</c:f>
              <c:numCache>
                <c:formatCode>0.00%</c:formatCode>
                <c:ptCount val="2"/>
                <c:pt idx="0">
                  <c:v>0.93400000000000005</c:v>
                </c:pt>
                <c:pt idx="1">
                  <c:v>0.81100000000000005</c:v>
                </c:pt>
              </c:numCache>
            </c:numRef>
          </c:val>
        </c:ser>
        <c:dLbls>
          <c:showVal val="1"/>
        </c:dLbls>
        <c:axId val="90857856"/>
        <c:axId val="90859392"/>
      </c:barChart>
      <c:catAx>
        <c:axId val="90857856"/>
        <c:scaling>
          <c:orientation val="minMax"/>
        </c:scaling>
        <c:axPos val="b"/>
        <c:tickLblPos val="nextTo"/>
        <c:txPr>
          <a:bodyPr/>
          <a:lstStyle/>
          <a:p>
            <a:pPr>
              <a:defRPr sz="600"/>
            </a:pPr>
            <a:endParaRPr lang="zh-TW"/>
          </a:p>
        </c:txPr>
        <c:crossAx val="90859392"/>
        <c:crosses val="autoZero"/>
        <c:auto val="1"/>
        <c:lblAlgn val="ctr"/>
        <c:lblOffset val="100"/>
      </c:catAx>
      <c:valAx>
        <c:axId val="90859392"/>
        <c:scaling>
          <c:orientation val="minMax"/>
        </c:scaling>
        <c:axPos val="l"/>
        <c:majorGridlines/>
        <c:numFmt formatCode="0.00%" sourceLinked="1"/>
        <c:tickLblPos val="nextTo"/>
        <c:crossAx val="90857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125386504768357"/>
          <c:y val="0.39065533516191148"/>
          <c:w val="0.20293316134130551"/>
          <c:h val="0.33330637877270641"/>
        </c:manualLayout>
      </c:layout>
    </c:legend>
    <c:plotVisOnly val="1"/>
  </c:chart>
  <c:txPr>
    <a:bodyPr/>
    <a:lstStyle/>
    <a:p>
      <a:pPr>
        <a:defRPr>
          <a:latin typeface="標楷體" pitchFamily="65" charset="-120"/>
          <a:ea typeface="標楷體" pitchFamily="65" charset="-120"/>
        </a:defRPr>
      </a:pPr>
      <a:endParaRPr lang="zh-TW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澎湖縣村里涵蓋率</c:v>
                </c:pt>
              </c:strCache>
            </c:strRef>
          </c:tx>
          <c:spPr>
            <a:solidFill>
              <a:srgbClr val="00B0F0"/>
            </a:solidFill>
          </c:spPr>
          <c:dLbls>
            <c:dLblPos val="inEnd"/>
            <c:showVal val="1"/>
          </c:dLbls>
          <c:cat>
            <c:strRef>
              <c:f>Sheet1!$A$2:$A$8</c:f>
              <c:strCache>
                <c:ptCount val="7"/>
                <c:pt idx="0">
                  <c:v>107年</c:v>
                </c:pt>
                <c:pt idx="1">
                  <c:v>108年</c:v>
                </c:pt>
                <c:pt idx="2">
                  <c:v>109年</c:v>
                </c:pt>
                <c:pt idx="3">
                  <c:v>110年</c:v>
                </c:pt>
                <c:pt idx="4">
                  <c:v>111年</c:v>
                </c:pt>
                <c:pt idx="5">
                  <c:v>112年</c:v>
                </c:pt>
                <c:pt idx="6">
                  <c:v>113年</c:v>
                </c:pt>
              </c:strCache>
            </c:strRef>
          </c:cat>
          <c:val>
            <c:numRef>
              <c:f>Sheet1!$B$2:$B$8</c:f>
              <c:numCache>
                <c:formatCode>0%</c:formatCode>
                <c:ptCount val="7"/>
                <c:pt idx="0">
                  <c:v>0.24000000000000019</c:v>
                </c:pt>
                <c:pt idx="1">
                  <c:v>0.28000000000000008</c:v>
                </c:pt>
                <c:pt idx="2" formatCode="0.00%">
                  <c:v>0.36500000000000032</c:v>
                </c:pt>
                <c:pt idx="3" formatCode="0.00%">
                  <c:v>0.42700000000000032</c:v>
                </c:pt>
                <c:pt idx="4">
                  <c:v>0.38000000000000045</c:v>
                </c:pt>
                <c:pt idx="5" formatCode="0.00%">
                  <c:v>0.41600000000000031</c:v>
                </c:pt>
                <c:pt idx="6">
                  <c:v>0.48000000000000032</c:v>
                </c:pt>
              </c:numCache>
            </c:numRef>
          </c:val>
        </c:ser>
        <c:dLbls>
          <c:showVal val="1"/>
        </c:dLbls>
        <c:axId val="90875392"/>
        <c:axId val="90876928"/>
      </c:barChart>
      <c:catAx>
        <c:axId val="90875392"/>
        <c:scaling>
          <c:orientation val="minMax"/>
        </c:scaling>
        <c:axPos val="b"/>
        <c:tickLblPos val="nextTo"/>
        <c:crossAx val="90876928"/>
        <c:crosses val="autoZero"/>
        <c:auto val="1"/>
        <c:lblAlgn val="ctr"/>
        <c:lblOffset val="100"/>
      </c:catAx>
      <c:valAx>
        <c:axId val="90876928"/>
        <c:scaling>
          <c:orientation val="minMax"/>
        </c:scaling>
        <c:axPos val="l"/>
        <c:majorGridlines/>
        <c:numFmt formatCode="0%" sourceLinked="1"/>
        <c:tickLblPos val="nextTo"/>
        <c:crossAx val="90875392"/>
        <c:crosses val="autoZero"/>
        <c:crossBetween val="between"/>
      </c:valAx>
    </c:plotArea>
    <c:plotVisOnly val="1"/>
  </c:chart>
  <c:txPr>
    <a:bodyPr/>
    <a:lstStyle/>
    <a:p>
      <a:pPr>
        <a:defRPr sz="900">
          <a:latin typeface="標楷體" pitchFamily="65" charset="-120"/>
          <a:ea typeface="標楷體" pitchFamily="65" charset="-120"/>
        </a:defRPr>
      </a:pPr>
      <a:endParaRPr lang="zh-TW"/>
    </a:p>
  </c:txPr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74C81-BD87-4DC6-9ED3-7B242C3E7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1187</Words>
  <Characters>6766</Characters>
  <Application>Microsoft Office Word</Application>
  <DocSecurity>0</DocSecurity>
  <Lines>56</Lines>
  <Paragraphs>15</Paragraphs>
  <ScaleCrop>false</ScaleCrop>
  <Company/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昀蓉 蔡</dc:creator>
  <cp:lastModifiedBy>fp18050</cp:lastModifiedBy>
  <cp:revision>2</cp:revision>
  <cp:lastPrinted>2025-07-05T06:45:00Z</cp:lastPrinted>
  <dcterms:created xsi:type="dcterms:W3CDTF">2025-07-30T01:01:00Z</dcterms:created>
  <dcterms:modified xsi:type="dcterms:W3CDTF">2025-07-30T01:01:00Z</dcterms:modified>
</cp:coreProperties>
</file>