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21" w:rsidRPr="00C945C0" w:rsidRDefault="00C945C0" w:rsidP="00C945C0">
      <w:pPr>
        <w:jc w:val="center"/>
        <w:rPr>
          <w:rFonts w:ascii="標楷體" w:eastAsia="標楷體" w:hAnsi="標楷體"/>
          <w:sz w:val="36"/>
          <w:szCs w:val="36"/>
        </w:rPr>
      </w:pPr>
      <w:r w:rsidRPr="00C945C0">
        <w:rPr>
          <w:rFonts w:ascii="標楷體" w:eastAsia="標楷體" w:hAnsi="標楷體" w:hint="eastAsia"/>
          <w:sz w:val="36"/>
          <w:szCs w:val="36"/>
        </w:rPr>
        <w:t>澎湖縣政府衛生局統計通報</w:t>
      </w:r>
    </w:p>
    <w:p w:rsidR="00C945C0" w:rsidRDefault="00C945C0" w:rsidP="00C945C0">
      <w:pPr>
        <w:jc w:val="right"/>
        <w:rPr>
          <w:rFonts w:ascii="標楷體" w:eastAsia="標楷體" w:hAnsi="標楷體"/>
          <w:szCs w:val="24"/>
        </w:rPr>
      </w:pPr>
      <w:r w:rsidRPr="00C945C0">
        <w:rPr>
          <w:rFonts w:ascii="標楷體" w:eastAsia="標楷體" w:hAnsi="標楷體" w:hint="eastAsia"/>
          <w:szCs w:val="24"/>
        </w:rPr>
        <w:t>11</w:t>
      </w:r>
      <w:r w:rsidR="00BB10AD">
        <w:rPr>
          <w:rFonts w:ascii="標楷體" w:eastAsia="標楷體" w:hAnsi="標楷體" w:hint="eastAsia"/>
          <w:szCs w:val="24"/>
        </w:rPr>
        <w:t>4</w:t>
      </w:r>
      <w:r w:rsidRPr="00C945C0">
        <w:rPr>
          <w:rFonts w:ascii="標楷體" w:eastAsia="標楷體" w:hAnsi="標楷體" w:hint="eastAsia"/>
          <w:szCs w:val="24"/>
        </w:rPr>
        <w:t>年</w:t>
      </w:r>
      <w:r w:rsidR="00DE0A19">
        <w:rPr>
          <w:rFonts w:ascii="標楷體" w:eastAsia="標楷體" w:hAnsi="標楷體" w:hint="eastAsia"/>
          <w:szCs w:val="24"/>
        </w:rPr>
        <w:t>7</w:t>
      </w:r>
      <w:r w:rsidRPr="00C945C0">
        <w:rPr>
          <w:rFonts w:ascii="標楷體" w:eastAsia="標楷體" w:hAnsi="標楷體" w:hint="eastAsia"/>
          <w:szCs w:val="24"/>
        </w:rPr>
        <w:t>月</w:t>
      </w:r>
    </w:p>
    <w:p w:rsidR="00C945C0" w:rsidRDefault="00C945C0" w:rsidP="00C945C0">
      <w:pPr>
        <w:jc w:val="center"/>
        <w:rPr>
          <w:rFonts w:ascii="標楷體" w:eastAsia="標楷體" w:hAnsi="標楷體"/>
          <w:sz w:val="28"/>
          <w:szCs w:val="28"/>
        </w:rPr>
      </w:pPr>
      <w:r w:rsidRPr="00C945C0">
        <w:rPr>
          <w:rFonts w:ascii="標楷體" w:eastAsia="標楷體" w:hAnsi="標楷體" w:hint="eastAsia"/>
          <w:sz w:val="28"/>
          <w:szCs w:val="28"/>
        </w:rPr>
        <w:t>澎湖縣食品衛生</w:t>
      </w:r>
      <w:r w:rsidR="00BB10AD">
        <w:rPr>
          <w:rFonts w:ascii="標楷體" w:eastAsia="標楷體" w:hAnsi="標楷體" w:hint="eastAsia"/>
          <w:sz w:val="28"/>
          <w:szCs w:val="28"/>
        </w:rPr>
        <w:t>自行檢驗</w:t>
      </w:r>
      <w:r w:rsidRPr="00C945C0">
        <w:rPr>
          <w:rFonts w:ascii="標楷體" w:eastAsia="標楷體" w:hAnsi="標楷體" w:hint="eastAsia"/>
          <w:sz w:val="28"/>
          <w:szCs w:val="28"/>
        </w:rPr>
        <w:t>概況</w:t>
      </w:r>
    </w:p>
    <w:p w:rsidR="00C945C0" w:rsidRDefault="00C945C0" w:rsidP="006605CA">
      <w:pPr>
        <w:spacing w:line="460" w:lineRule="exact"/>
        <w:ind w:left="425" w:hangingChars="177" w:hanging="425"/>
        <w:jc w:val="both"/>
        <w:rPr>
          <w:rFonts w:ascii="標楷體" w:eastAsia="標楷體" w:hAnsi="標楷體"/>
          <w:szCs w:val="24"/>
        </w:rPr>
      </w:pPr>
      <w:r w:rsidRPr="00C945C0">
        <w:rPr>
          <w:rFonts w:ascii="標楷體" w:eastAsia="標楷體" w:hAnsi="標楷體" w:hint="eastAsia"/>
          <w:szCs w:val="24"/>
        </w:rPr>
        <w:t>一、11</w:t>
      </w:r>
      <w:r w:rsidR="006F7668">
        <w:rPr>
          <w:rFonts w:ascii="標楷體" w:eastAsia="標楷體" w:hAnsi="標楷體" w:hint="eastAsia"/>
          <w:szCs w:val="24"/>
        </w:rPr>
        <w:t>3</w:t>
      </w:r>
      <w:r w:rsidRPr="00C945C0">
        <w:rPr>
          <w:rFonts w:ascii="標楷體" w:eastAsia="標楷體" w:hAnsi="標楷體" w:hint="eastAsia"/>
          <w:szCs w:val="24"/>
        </w:rPr>
        <w:t>年澎湖縣</w:t>
      </w:r>
      <w:r>
        <w:rPr>
          <w:rFonts w:ascii="標楷體" w:eastAsia="標楷體" w:hAnsi="標楷體" w:hint="eastAsia"/>
          <w:szCs w:val="24"/>
        </w:rPr>
        <w:t>食</w:t>
      </w:r>
      <w:r w:rsidR="006F7668">
        <w:rPr>
          <w:rFonts w:ascii="標楷體" w:eastAsia="標楷體" w:hAnsi="標楷體" w:hint="eastAsia"/>
          <w:szCs w:val="24"/>
        </w:rPr>
        <w:t>品衛生自行檢驗</w:t>
      </w:r>
      <w:r w:rsidR="00460001">
        <w:rPr>
          <w:rFonts w:ascii="標楷體" w:eastAsia="標楷體" w:hAnsi="標楷體" w:hint="eastAsia"/>
          <w:szCs w:val="24"/>
        </w:rPr>
        <w:t>824</w:t>
      </w:r>
      <w:r w:rsidR="002B181F">
        <w:rPr>
          <w:rFonts w:ascii="標楷體" w:eastAsia="標楷體" w:hAnsi="標楷體" w:hint="eastAsia"/>
          <w:szCs w:val="24"/>
        </w:rPr>
        <w:t>件</w:t>
      </w:r>
      <w:r>
        <w:rPr>
          <w:rFonts w:ascii="標楷體" w:eastAsia="標楷體" w:hAnsi="標楷體" w:hint="eastAsia"/>
          <w:szCs w:val="24"/>
        </w:rPr>
        <w:t>，</w:t>
      </w:r>
      <w:r w:rsidR="006F7668">
        <w:rPr>
          <w:rFonts w:ascii="標楷體" w:eastAsia="標楷體" w:hAnsi="標楷體" w:hint="eastAsia"/>
          <w:szCs w:val="24"/>
        </w:rPr>
        <w:t>檢驗</w:t>
      </w:r>
      <w:r>
        <w:rPr>
          <w:rFonts w:ascii="標楷體" w:eastAsia="標楷體" w:hAnsi="標楷體" w:hint="eastAsia"/>
          <w:szCs w:val="24"/>
        </w:rPr>
        <w:t>不符規定</w:t>
      </w:r>
      <w:r w:rsidR="00460001">
        <w:rPr>
          <w:rFonts w:ascii="標楷體" w:eastAsia="標楷體" w:hAnsi="標楷體" w:hint="eastAsia"/>
          <w:szCs w:val="24"/>
        </w:rPr>
        <w:t>66</w:t>
      </w:r>
      <w:r w:rsidR="006F7668">
        <w:rPr>
          <w:rFonts w:ascii="標楷體" w:eastAsia="標楷體" w:hAnsi="標楷體" w:hint="eastAsia"/>
          <w:szCs w:val="24"/>
        </w:rPr>
        <w:t>件，不符規定比率</w:t>
      </w:r>
      <w:r w:rsidR="00460001">
        <w:rPr>
          <w:rFonts w:ascii="標楷體" w:eastAsia="標楷體" w:hAnsi="標楷體" w:hint="eastAsia"/>
          <w:szCs w:val="24"/>
        </w:rPr>
        <w:t>8.01</w:t>
      </w:r>
      <w:r w:rsidR="00B338B8">
        <w:rPr>
          <w:rFonts w:ascii="標楷體" w:eastAsia="標楷體" w:hAnsi="標楷體"/>
          <w:szCs w:val="24"/>
        </w:rPr>
        <w:t>%</w:t>
      </w:r>
      <w:r>
        <w:rPr>
          <w:rFonts w:ascii="標楷體" w:eastAsia="標楷體" w:hAnsi="標楷體" w:hint="eastAsia"/>
          <w:szCs w:val="24"/>
        </w:rPr>
        <w:t>，較上一年</w:t>
      </w:r>
      <w:r w:rsidR="00460001">
        <w:rPr>
          <w:rFonts w:ascii="標楷體" w:eastAsia="標楷體" w:hAnsi="標楷體" w:hint="eastAsia"/>
          <w:szCs w:val="24"/>
        </w:rPr>
        <w:t>4.75</w:t>
      </w:r>
      <w:r w:rsidR="00B338B8">
        <w:rPr>
          <w:rFonts w:ascii="標楷體" w:eastAsia="標楷體" w:hAnsi="標楷體"/>
          <w:szCs w:val="24"/>
        </w:rPr>
        <w:t>%</w:t>
      </w:r>
      <w:r w:rsidR="00B338B8">
        <w:rPr>
          <w:rFonts w:ascii="標楷體" w:eastAsia="標楷體" w:hAnsi="標楷體" w:hint="eastAsia"/>
          <w:szCs w:val="24"/>
        </w:rPr>
        <w:t>增加</w:t>
      </w:r>
      <w:r>
        <w:rPr>
          <w:rFonts w:ascii="標楷體" w:eastAsia="標楷體" w:hAnsi="標楷體" w:hint="eastAsia"/>
          <w:szCs w:val="24"/>
        </w:rPr>
        <w:t>約</w:t>
      </w:r>
      <w:r w:rsidR="00460001">
        <w:rPr>
          <w:rFonts w:ascii="標楷體" w:eastAsia="標楷體" w:hAnsi="標楷體" w:hint="eastAsia"/>
          <w:szCs w:val="24"/>
        </w:rPr>
        <w:t>3.26</w:t>
      </w:r>
      <w:r w:rsidR="00554C98">
        <w:rPr>
          <w:rFonts w:ascii="標楷體" w:eastAsia="標楷體" w:hAnsi="標楷體" w:hint="eastAsia"/>
          <w:szCs w:val="24"/>
        </w:rPr>
        <w:t>%。</w:t>
      </w:r>
    </w:p>
    <w:p w:rsidR="00C945C0" w:rsidRDefault="00C945C0" w:rsidP="00F11311">
      <w:pPr>
        <w:spacing w:line="460" w:lineRule="exact"/>
        <w:ind w:leftChars="177" w:left="425" w:firstLineChars="235" w:firstLine="564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經統計11</w:t>
      </w:r>
      <w:r w:rsidR="00F11311"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  <w:szCs w:val="24"/>
        </w:rPr>
        <w:t>年</w:t>
      </w:r>
      <w:r w:rsidR="00D530AE">
        <w:rPr>
          <w:rFonts w:ascii="標楷體" w:eastAsia="標楷體" w:hAnsi="標楷體" w:hint="eastAsia"/>
          <w:szCs w:val="24"/>
        </w:rPr>
        <w:t>澎湖縣食品</w:t>
      </w:r>
      <w:r w:rsidR="00F11311">
        <w:rPr>
          <w:rFonts w:ascii="標楷體" w:eastAsia="標楷體" w:hAnsi="標楷體" w:hint="eastAsia"/>
          <w:szCs w:val="24"/>
        </w:rPr>
        <w:t>衛生自行檢驗</w:t>
      </w:r>
      <w:r w:rsidR="00D530AE">
        <w:rPr>
          <w:rFonts w:ascii="標楷體" w:eastAsia="標楷體" w:hAnsi="標楷體" w:hint="eastAsia"/>
          <w:szCs w:val="24"/>
        </w:rPr>
        <w:t>情形，總</w:t>
      </w:r>
      <w:r w:rsidR="00F11311">
        <w:rPr>
          <w:rFonts w:ascii="標楷體" w:eastAsia="標楷體" w:hAnsi="標楷體" w:hint="eastAsia"/>
          <w:szCs w:val="24"/>
        </w:rPr>
        <w:t>計檢驗824</w:t>
      </w:r>
      <w:r w:rsidR="00D530AE">
        <w:rPr>
          <w:rFonts w:ascii="標楷體" w:eastAsia="標楷體" w:hAnsi="標楷體" w:hint="eastAsia"/>
          <w:szCs w:val="24"/>
        </w:rPr>
        <w:t>件，</w:t>
      </w:r>
      <w:r w:rsidR="00F11311">
        <w:rPr>
          <w:rFonts w:ascii="標楷體" w:eastAsia="標楷體" w:hAnsi="標楷體" w:hint="eastAsia"/>
          <w:szCs w:val="24"/>
        </w:rPr>
        <w:t>符合規定件數758</w:t>
      </w:r>
      <w:r w:rsidR="00D530AE">
        <w:rPr>
          <w:rFonts w:ascii="標楷體" w:eastAsia="標楷體" w:hAnsi="標楷體" w:hint="eastAsia"/>
          <w:szCs w:val="24"/>
        </w:rPr>
        <w:t>件，</w:t>
      </w:r>
      <w:r w:rsidR="002F444F">
        <w:rPr>
          <w:rFonts w:ascii="標楷體" w:eastAsia="標楷體" w:hAnsi="標楷體" w:hint="eastAsia"/>
          <w:szCs w:val="24"/>
        </w:rPr>
        <w:t>不符規定</w:t>
      </w:r>
      <w:r w:rsidR="00F11311">
        <w:rPr>
          <w:rFonts w:ascii="標楷體" w:eastAsia="標楷體" w:hAnsi="標楷體" w:hint="eastAsia"/>
          <w:szCs w:val="24"/>
        </w:rPr>
        <w:t>件數66件，不符規定比</w:t>
      </w:r>
      <w:r w:rsidR="002F444F">
        <w:rPr>
          <w:rFonts w:ascii="標楷體" w:eastAsia="標楷體" w:hAnsi="標楷體" w:hint="eastAsia"/>
          <w:szCs w:val="24"/>
        </w:rPr>
        <w:t>率</w:t>
      </w:r>
      <w:r w:rsidR="00F11311">
        <w:rPr>
          <w:rFonts w:ascii="標楷體" w:eastAsia="標楷體" w:hAnsi="標楷體" w:hint="eastAsia"/>
          <w:szCs w:val="24"/>
        </w:rPr>
        <w:t>8.01</w:t>
      </w:r>
      <w:r w:rsidR="00B338B8">
        <w:rPr>
          <w:rFonts w:ascii="標楷體" w:eastAsia="標楷體" w:hAnsi="標楷體"/>
          <w:szCs w:val="24"/>
        </w:rPr>
        <w:t>%</w:t>
      </w:r>
      <w:r w:rsidR="002F444F">
        <w:rPr>
          <w:rFonts w:ascii="標楷體" w:eastAsia="標楷體" w:hAnsi="標楷體" w:hint="eastAsia"/>
          <w:szCs w:val="24"/>
        </w:rPr>
        <w:t>，與上一年相較，</w:t>
      </w:r>
      <w:r w:rsidR="00F11311">
        <w:rPr>
          <w:rFonts w:ascii="標楷體" w:eastAsia="標楷體" w:hAnsi="標楷體" w:hint="eastAsia"/>
          <w:szCs w:val="24"/>
        </w:rPr>
        <w:t>檢驗件數增加213</w:t>
      </w:r>
      <w:r w:rsidR="002F444F">
        <w:rPr>
          <w:rFonts w:ascii="標楷體" w:eastAsia="標楷體" w:hAnsi="標楷體" w:hint="eastAsia"/>
          <w:szCs w:val="24"/>
        </w:rPr>
        <w:t>件，不符規定比率</w:t>
      </w:r>
      <w:r w:rsidR="00B338B8">
        <w:rPr>
          <w:rFonts w:ascii="標楷體" w:eastAsia="標楷體" w:hAnsi="標楷體" w:hint="eastAsia"/>
          <w:szCs w:val="24"/>
        </w:rPr>
        <w:t>增加</w:t>
      </w:r>
      <w:r w:rsidR="00712CF7">
        <w:rPr>
          <w:rFonts w:ascii="標楷體" w:eastAsia="標楷體" w:hAnsi="標楷體" w:hint="eastAsia"/>
          <w:szCs w:val="24"/>
        </w:rPr>
        <w:t>3.26</w:t>
      </w:r>
      <w:r w:rsidR="00554C98">
        <w:rPr>
          <w:rFonts w:ascii="標楷體" w:eastAsia="標楷體" w:hAnsi="標楷體" w:hint="eastAsia"/>
          <w:szCs w:val="24"/>
        </w:rPr>
        <w:t>%</w:t>
      </w:r>
      <w:r w:rsidR="002F444F">
        <w:rPr>
          <w:rFonts w:ascii="標楷體" w:eastAsia="標楷體" w:hAnsi="標楷體" w:hint="eastAsia"/>
          <w:szCs w:val="24"/>
        </w:rPr>
        <w:t>。(如圖1)</w:t>
      </w:r>
      <w:r w:rsidR="00554C98">
        <w:rPr>
          <w:rFonts w:ascii="標楷體" w:eastAsia="標楷體" w:hAnsi="標楷體" w:hint="eastAsia"/>
          <w:szCs w:val="24"/>
        </w:rPr>
        <w:t xml:space="preserve">        </w:t>
      </w:r>
    </w:p>
    <w:p w:rsidR="00554C98" w:rsidRDefault="00554C98" w:rsidP="00F11311">
      <w:pPr>
        <w:spacing w:line="460" w:lineRule="exact"/>
        <w:ind w:leftChars="177" w:left="425" w:firstLineChars="235" w:firstLine="564"/>
        <w:jc w:val="both"/>
        <w:rPr>
          <w:rFonts w:ascii="標楷體" w:eastAsia="標楷體" w:hAnsi="標楷體"/>
          <w:szCs w:val="24"/>
        </w:rPr>
      </w:pPr>
    </w:p>
    <w:p w:rsidR="00F96BD2" w:rsidRDefault="003D51CD" w:rsidP="003D51CD">
      <w:pPr>
        <w:ind w:leftChars="177" w:left="425" w:firstLineChars="235" w:firstLine="564"/>
        <w:rPr>
          <w:rFonts w:ascii="標楷體" w:eastAsia="標楷體" w:hAnsi="標楷體"/>
          <w:szCs w:val="24"/>
        </w:rPr>
      </w:pPr>
      <w:r>
        <w:rPr>
          <w:noProof/>
        </w:rPr>
        <w:drawing>
          <wp:inline distT="0" distB="0" distL="0" distR="0">
            <wp:extent cx="4838700" cy="2905125"/>
            <wp:effectExtent l="19050" t="0" r="19050" b="0"/>
            <wp:docPr id="1" name="圖表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7D53F21-8B22-4D03-2F83-2BDFAFEB3F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11311" w:rsidRDefault="00F11311" w:rsidP="00D530AE">
      <w:pPr>
        <w:ind w:leftChars="177" w:left="425" w:firstLineChars="235" w:firstLine="564"/>
        <w:jc w:val="both"/>
        <w:rPr>
          <w:rFonts w:ascii="標楷體" w:eastAsia="標楷體" w:hAnsi="標楷體"/>
          <w:szCs w:val="24"/>
        </w:rPr>
      </w:pPr>
    </w:p>
    <w:p w:rsidR="006605CA" w:rsidRDefault="006605CA" w:rsidP="006605CA">
      <w:pPr>
        <w:ind w:leftChars="177" w:left="425" w:firstLineChars="235" w:firstLine="564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資料來源：澎湖縣政府衛生局公務統計報表</w:t>
      </w:r>
    </w:p>
    <w:p w:rsidR="000F3D56" w:rsidRDefault="003E18BC" w:rsidP="000F3D56">
      <w:pPr>
        <w:spacing w:line="460" w:lineRule="exact"/>
        <w:ind w:leftChars="177" w:left="425" w:firstLineChars="235" w:firstLine="564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</w:t>
      </w:r>
      <w:r w:rsidR="00BA4BE9">
        <w:rPr>
          <w:rFonts w:ascii="標楷體" w:eastAsia="標楷體" w:hAnsi="標楷體" w:hint="eastAsia"/>
          <w:szCs w:val="24"/>
        </w:rPr>
        <w:t>統計</w:t>
      </w:r>
      <w:r w:rsidR="001B0F97">
        <w:rPr>
          <w:rFonts w:ascii="標楷體" w:eastAsia="標楷體" w:hAnsi="標楷體" w:hint="eastAsia"/>
          <w:szCs w:val="24"/>
        </w:rPr>
        <w:t>113年</w:t>
      </w:r>
      <w:r w:rsidR="00EA1F3A">
        <w:rPr>
          <w:rFonts w:ascii="標楷體" w:eastAsia="標楷體" w:hAnsi="標楷體" w:hint="eastAsia"/>
          <w:szCs w:val="24"/>
        </w:rPr>
        <w:t>不符合規定</w:t>
      </w:r>
      <w:r w:rsidR="001B0F97">
        <w:rPr>
          <w:rFonts w:ascii="標楷體" w:eastAsia="標楷體" w:hAnsi="標楷體" w:hint="eastAsia"/>
          <w:szCs w:val="24"/>
        </w:rPr>
        <w:t>66</w:t>
      </w:r>
      <w:r w:rsidR="00EA1F3A">
        <w:rPr>
          <w:rFonts w:ascii="標楷體" w:eastAsia="標楷體" w:hAnsi="標楷體" w:hint="eastAsia"/>
          <w:szCs w:val="24"/>
        </w:rPr>
        <w:t>件數，</w:t>
      </w:r>
      <w:r w:rsidR="0081368C">
        <w:rPr>
          <w:rFonts w:ascii="標楷體" w:eastAsia="標楷體" w:hAnsi="標楷體" w:hint="eastAsia"/>
          <w:szCs w:val="24"/>
        </w:rPr>
        <w:t>其中</w:t>
      </w:r>
      <w:r w:rsidR="00F42CCF">
        <w:rPr>
          <w:rFonts w:ascii="標楷體" w:eastAsia="標楷體" w:hAnsi="標楷體" w:hint="eastAsia"/>
          <w:szCs w:val="24"/>
        </w:rPr>
        <w:t>蔬果農藥殘留檢驗104件，有11件不符合規定</w:t>
      </w:r>
      <w:r w:rsidR="0081368C">
        <w:rPr>
          <w:rFonts w:ascii="標楷體" w:eastAsia="標楷體" w:hAnsi="標楷體" w:hint="eastAsia"/>
          <w:szCs w:val="24"/>
        </w:rPr>
        <w:t>，不符合規定比率</w:t>
      </w:r>
      <w:r w:rsidR="00BA4BE9">
        <w:rPr>
          <w:rFonts w:ascii="標楷體" w:eastAsia="標楷體" w:hAnsi="標楷體" w:hint="eastAsia"/>
          <w:szCs w:val="24"/>
        </w:rPr>
        <w:t>10.6</w:t>
      </w:r>
      <w:r w:rsidR="0081368C">
        <w:rPr>
          <w:rFonts w:ascii="標楷體" w:eastAsia="標楷體" w:hAnsi="標楷體" w:hint="eastAsia"/>
          <w:szCs w:val="24"/>
        </w:rPr>
        <w:t>%；水產品檢驗28件，</w:t>
      </w:r>
      <w:r w:rsidR="00BA4BE9">
        <w:rPr>
          <w:rFonts w:ascii="標楷體" w:eastAsia="標楷體" w:hAnsi="標楷體" w:hint="eastAsia"/>
          <w:szCs w:val="24"/>
        </w:rPr>
        <w:t>有9件檢出</w:t>
      </w:r>
      <w:proofErr w:type="gramStart"/>
      <w:r w:rsidR="00BA4BE9">
        <w:rPr>
          <w:rFonts w:ascii="標楷體" w:eastAsia="標楷體" w:hAnsi="標楷體" w:hint="eastAsia"/>
          <w:szCs w:val="24"/>
        </w:rPr>
        <w:t>重金屬鎘不符合</w:t>
      </w:r>
      <w:proofErr w:type="gramEnd"/>
      <w:r w:rsidR="00BA4BE9">
        <w:rPr>
          <w:rFonts w:ascii="標楷體" w:eastAsia="標楷體" w:hAnsi="標楷體" w:hint="eastAsia"/>
          <w:szCs w:val="24"/>
        </w:rPr>
        <w:t>規定，不符合規定比率32.1%；鹼</w:t>
      </w:r>
      <w:proofErr w:type="gramStart"/>
      <w:r w:rsidR="00BA4BE9">
        <w:rPr>
          <w:rFonts w:ascii="標楷體" w:eastAsia="標楷體" w:hAnsi="標楷體" w:hint="eastAsia"/>
          <w:szCs w:val="24"/>
        </w:rPr>
        <w:t>粽</w:t>
      </w:r>
      <w:proofErr w:type="gramEnd"/>
      <w:r w:rsidR="00BA4BE9">
        <w:rPr>
          <w:rFonts w:ascii="標楷體" w:eastAsia="標楷體" w:hAnsi="標楷體" w:hint="eastAsia"/>
          <w:szCs w:val="24"/>
        </w:rPr>
        <w:t>檢驗33件，有6件檢出硼酸及其鹽類不符合規定，不符合規定比率18.2%；</w:t>
      </w:r>
      <w:r>
        <w:rPr>
          <w:rFonts w:ascii="標楷體" w:eastAsia="標楷體" w:hAnsi="標楷體" w:hint="eastAsia"/>
          <w:szCs w:val="24"/>
        </w:rPr>
        <w:t>冷飲冰品檢驗152件，有30件檢出微生物腸桿菌科不符合規定，不符合規定比率19.7%；RO水及桶裝水檢驗115件，有9件檢出微生物綠膿桿菌</w:t>
      </w:r>
      <w:r w:rsidR="00B54824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糞便性鏈球菌</w:t>
      </w:r>
      <w:r w:rsidR="00B54824">
        <w:rPr>
          <w:rFonts w:ascii="標楷體" w:eastAsia="標楷體" w:hAnsi="標楷體" w:hint="eastAsia"/>
          <w:szCs w:val="24"/>
        </w:rPr>
        <w:t>或大腸桿菌群</w:t>
      </w:r>
      <w:r>
        <w:rPr>
          <w:rFonts w:ascii="標楷體" w:eastAsia="標楷體" w:hAnsi="標楷體" w:hint="eastAsia"/>
          <w:szCs w:val="24"/>
        </w:rPr>
        <w:t>不符合規定，不符合規定比率7.8% ；午餐</w:t>
      </w:r>
      <w:proofErr w:type="gramStart"/>
      <w:r>
        <w:rPr>
          <w:rFonts w:ascii="標楷體" w:eastAsia="標楷體" w:hAnsi="標楷體" w:hint="eastAsia"/>
          <w:szCs w:val="24"/>
        </w:rPr>
        <w:t>餐</w:t>
      </w:r>
      <w:proofErr w:type="gramEnd"/>
      <w:r>
        <w:rPr>
          <w:rFonts w:ascii="標楷體" w:eastAsia="標楷體" w:hAnsi="標楷體" w:hint="eastAsia"/>
          <w:szCs w:val="24"/>
        </w:rPr>
        <w:t>盒檢驗</w:t>
      </w:r>
      <w:r>
        <w:rPr>
          <w:rFonts w:ascii="標楷體" w:eastAsia="標楷體" w:hAnsi="標楷體" w:hint="eastAsia"/>
          <w:szCs w:val="24"/>
        </w:rPr>
        <w:lastRenderedPageBreak/>
        <w:t>76件，有1件</w:t>
      </w:r>
      <w:r w:rsidR="000F3D56">
        <w:rPr>
          <w:rFonts w:ascii="標楷體" w:eastAsia="標楷體" w:hAnsi="標楷體" w:hint="eastAsia"/>
          <w:szCs w:val="24"/>
        </w:rPr>
        <w:t>檢出微生物金黃色葡萄球菌不符合規定，不符規定比率1.3%。</w:t>
      </w:r>
    </w:p>
    <w:p w:rsidR="00DF2A27" w:rsidRPr="00794883" w:rsidRDefault="00554C98" w:rsidP="00554C98">
      <w:pPr>
        <w:spacing w:line="460" w:lineRule="exact"/>
        <w:ind w:leftChars="177" w:left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表一、</w:t>
      </w:r>
      <w:r w:rsidR="00DF2A27" w:rsidRPr="00794883">
        <w:rPr>
          <w:rFonts w:ascii="標楷體" w:eastAsia="標楷體" w:hAnsi="標楷體" w:hint="eastAsia"/>
        </w:rPr>
        <w:t>澎湖縣近</w:t>
      </w:r>
      <w:r w:rsidR="008C1993">
        <w:rPr>
          <w:rFonts w:ascii="標楷體" w:eastAsia="標楷體" w:hAnsi="標楷體" w:hint="eastAsia"/>
        </w:rPr>
        <w:t>10</w:t>
      </w:r>
      <w:r w:rsidR="00DF2A27" w:rsidRPr="00794883">
        <w:rPr>
          <w:rFonts w:ascii="標楷體" w:eastAsia="標楷體" w:hAnsi="標楷體" w:hint="eastAsia"/>
        </w:rPr>
        <w:t>年食品</w:t>
      </w:r>
      <w:r w:rsidR="003D51CD">
        <w:rPr>
          <w:rFonts w:ascii="標楷體" w:eastAsia="標楷體" w:hAnsi="標楷體" w:hint="eastAsia"/>
        </w:rPr>
        <w:t>衛生自行檢驗</w:t>
      </w:r>
      <w:r w:rsidR="00DF2A27" w:rsidRPr="00794883">
        <w:rPr>
          <w:rFonts w:ascii="標楷體" w:eastAsia="標楷體" w:hAnsi="標楷體" w:hint="eastAsia"/>
        </w:rPr>
        <w:t>件數及不符規定</w:t>
      </w:r>
      <w:r w:rsidR="00157A75">
        <w:rPr>
          <w:rFonts w:ascii="標楷體" w:eastAsia="標楷體" w:hAnsi="標楷體" w:hint="eastAsia"/>
        </w:rPr>
        <w:t>統計分析表</w:t>
      </w:r>
    </w:p>
    <w:p w:rsidR="00DF2A27" w:rsidRPr="00794883" w:rsidRDefault="00DF2A27" w:rsidP="005B48E2">
      <w:pPr>
        <w:spacing w:line="460" w:lineRule="exact"/>
        <w:jc w:val="right"/>
        <w:rPr>
          <w:rFonts w:ascii="標楷體" w:eastAsia="標楷體" w:hAnsi="標楷體"/>
          <w:sz w:val="22"/>
        </w:rPr>
      </w:pPr>
      <w:r w:rsidRPr="00794883">
        <w:rPr>
          <w:rFonts w:ascii="標楷體" w:eastAsia="標楷體" w:hAnsi="標楷體" w:hint="eastAsia"/>
          <w:sz w:val="22"/>
        </w:rPr>
        <w:t>單位：件、%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16"/>
        <w:gridCol w:w="1658"/>
        <w:gridCol w:w="1795"/>
        <w:gridCol w:w="1848"/>
        <w:gridCol w:w="1635"/>
      </w:tblGrid>
      <w:tr w:rsidR="00DF2A27" w:rsidRPr="00794883" w:rsidTr="00251CDB">
        <w:trPr>
          <w:trHeight w:val="471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 w:rsidRPr="00794883">
              <w:rPr>
                <w:rFonts w:ascii="標楷體" w:eastAsia="標楷體" w:hAnsi="標楷體" w:hint="eastAsia"/>
                <w:sz w:val="22"/>
              </w:rPr>
              <w:t>年別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檢</w:t>
            </w:r>
            <w:r w:rsidR="003D51CD">
              <w:rPr>
                <w:rFonts w:ascii="標楷體" w:eastAsia="標楷體" w:hAnsi="標楷體" w:hint="eastAsia"/>
                <w:sz w:val="22"/>
              </w:rPr>
              <w:t>驗</w:t>
            </w:r>
            <w:r w:rsidRPr="00794883">
              <w:rPr>
                <w:rFonts w:ascii="標楷體" w:eastAsia="標楷體" w:hAnsi="標楷體" w:hint="eastAsia"/>
                <w:sz w:val="22"/>
              </w:rPr>
              <w:t>總件數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符合規定件數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不符規定件數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不符規定比率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10</w:t>
            </w:r>
            <w:r w:rsidR="003D51CD">
              <w:rPr>
                <w:rFonts w:ascii="標楷體" w:eastAsia="標楷體" w:hAnsi="標楷體" w:hint="eastAsia"/>
                <w:sz w:val="22"/>
              </w:rPr>
              <w:t>4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682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633</w:t>
            </w:r>
          </w:p>
        </w:tc>
        <w:tc>
          <w:tcPr>
            <w:tcW w:w="1903" w:type="dxa"/>
            <w:tcBorders>
              <w:top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49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7.18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10</w:t>
            </w:r>
            <w:r w:rsidR="003D51CD">
              <w:rPr>
                <w:rFonts w:ascii="標楷體" w:eastAsia="標楷體" w:hAnsi="標楷體" w:hint="eastAsia"/>
                <w:sz w:val="22"/>
              </w:rPr>
              <w:t>5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619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558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61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9.85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10</w:t>
            </w:r>
            <w:r w:rsidR="003D51CD">
              <w:rPr>
                <w:rFonts w:ascii="標楷體" w:eastAsia="標楷體" w:hAnsi="標楷體" w:hint="eastAsia"/>
                <w:sz w:val="22"/>
              </w:rPr>
              <w:t>6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672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638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34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5.06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10</w:t>
            </w:r>
            <w:r w:rsidR="003D51CD">
              <w:rPr>
                <w:rFonts w:ascii="標楷體" w:eastAsia="標楷體" w:hAnsi="標楷體" w:hint="eastAsia"/>
                <w:sz w:val="22"/>
              </w:rPr>
              <w:t>7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608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569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39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6.41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10</w:t>
            </w:r>
            <w:r w:rsidR="003D51CD">
              <w:rPr>
                <w:rFonts w:ascii="標楷體" w:eastAsia="標楷體" w:hAnsi="標楷體" w:hint="eastAsia"/>
                <w:sz w:val="22"/>
              </w:rPr>
              <w:t>8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630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591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39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6.19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10</w:t>
            </w:r>
            <w:r w:rsidR="003D51CD">
              <w:rPr>
                <w:rFonts w:ascii="標楷體" w:eastAsia="標楷體" w:hAnsi="標楷體" w:hint="eastAsia"/>
                <w:sz w:val="22"/>
              </w:rPr>
              <w:t>9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603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581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22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3.65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</w:t>
            </w:r>
            <w:r w:rsidR="003D51CD">
              <w:rPr>
                <w:rFonts w:ascii="標楷體" w:eastAsia="標楷體" w:hAnsi="標楷體" w:hint="eastAsia"/>
                <w:sz w:val="22"/>
              </w:rPr>
              <w:t>10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594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570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24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4.04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11</w:t>
            </w:r>
            <w:r w:rsidR="003D51CD">
              <w:rPr>
                <w:rFonts w:ascii="標楷體" w:eastAsia="標楷體" w:hAnsi="標楷體" w:hint="eastAsia"/>
                <w:sz w:val="22"/>
              </w:rPr>
              <w:t>1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712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690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22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3.09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11</w:t>
            </w:r>
            <w:r w:rsidR="003D51CD">
              <w:rPr>
                <w:rFonts w:ascii="標楷體" w:eastAsia="標楷體" w:hAnsi="標楷體" w:hint="eastAsia"/>
                <w:sz w:val="22"/>
              </w:rPr>
              <w:t>2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611</w:t>
            </w:r>
          </w:p>
        </w:tc>
        <w:tc>
          <w:tcPr>
            <w:tcW w:w="184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582</w:t>
            </w:r>
          </w:p>
        </w:tc>
        <w:tc>
          <w:tcPr>
            <w:tcW w:w="190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29</w:t>
            </w:r>
          </w:p>
        </w:tc>
        <w:tc>
          <w:tcPr>
            <w:tcW w:w="1673" w:type="dxa"/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4.75</w:t>
            </w:r>
          </w:p>
        </w:tc>
      </w:tr>
      <w:tr w:rsidR="00DF2A27" w:rsidRPr="00794883" w:rsidTr="00251CDB">
        <w:trPr>
          <w:trHeight w:val="471"/>
        </w:trPr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2A27" w:rsidRPr="00794883" w:rsidRDefault="00DF2A27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94883">
              <w:rPr>
                <w:rFonts w:ascii="標楷體" w:eastAsia="標楷體" w:hAnsi="標楷體" w:hint="eastAsia"/>
                <w:sz w:val="22"/>
              </w:rPr>
              <w:t>11</w:t>
            </w:r>
            <w:r w:rsidR="003D51CD">
              <w:rPr>
                <w:rFonts w:ascii="標楷體" w:eastAsia="標楷體" w:hAnsi="標楷體" w:hint="eastAsia"/>
                <w:sz w:val="22"/>
              </w:rPr>
              <w:t>3</w:t>
            </w:r>
            <w:r w:rsidRPr="00794883">
              <w:rPr>
                <w:rFonts w:ascii="標楷體" w:eastAsia="標楷體" w:hAnsi="標楷體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758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66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:rsidR="00DF2A27" w:rsidRPr="00794883" w:rsidRDefault="003D51CD" w:rsidP="008206E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8.01</w:t>
            </w:r>
          </w:p>
        </w:tc>
      </w:tr>
    </w:tbl>
    <w:p w:rsidR="00DF2A27" w:rsidRDefault="00DF2A27" w:rsidP="005B48E2">
      <w:pPr>
        <w:spacing w:line="460" w:lineRule="exact"/>
        <w:rPr>
          <w:rFonts w:ascii="標楷體" w:eastAsia="標楷體" w:hAnsi="標楷體"/>
          <w:szCs w:val="24"/>
        </w:rPr>
      </w:pPr>
      <w:r w:rsidRPr="00236D4E">
        <w:rPr>
          <w:rFonts w:ascii="標楷體" w:eastAsia="標楷體" w:hAnsi="標楷體" w:hint="eastAsia"/>
          <w:sz w:val="22"/>
        </w:rPr>
        <w:t>資料來源：</w:t>
      </w:r>
      <w:r w:rsidR="006605CA">
        <w:rPr>
          <w:rFonts w:ascii="標楷體" w:eastAsia="標楷體" w:hAnsi="標楷體" w:hint="eastAsia"/>
          <w:szCs w:val="24"/>
        </w:rPr>
        <w:t>澎湖縣政府衛生局公務統計報表</w:t>
      </w:r>
    </w:p>
    <w:p w:rsidR="00C10BF8" w:rsidRDefault="00C10BF8" w:rsidP="00C10BF8">
      <w:pPr>
        <w:spacing w:line="460" w:lineRule="exact"/>
        <w:jc w:val="both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="00B342B6" w:rsidRPr="00DE0A19">
        <w:rPr>
          <w:rFonts w:ascii="標楷體" w:eastAsia="標楷體" w:hAnsi="標楷體" w:hint="eastAsia"/>
          <w:szCs w:val="24"/>
        </w:rPr>
        <w:t>檢視113年食品衛生自行檢驗不符合規定66件檢體</w:t>
      </w:r>
      <w:r w:rsidR="003E421F" w:rsidRPr="00DE0A19">
        <w:rPr>
          <w:rFonts w:ascii="標楷體" w:eastAsia="標楷體" w:hAnsi="標楷體" w:hint="eastAsia"/>
          <w:szCs w:val="24"/>
        </w:rPr>
        <w:t>中</w:t>
      </w:r>
      <w:r w:rsidR="00B342B6" w:rsidRPr="00DE0A19">
        <w:rPr>
          <w:rFonts w:ascii="標楷體" w:eastAsia="標楷體" w:hAnsi="標楷體" w:hint="eastAsia"/>
          <w:szCs w:val="24"/>
        </w:rPr>
        <w:t>，</w:t>
      </w:r>
      <w:r w:rsidR="00813FD6" w:rsidRPr="00DE0A19">
        <w:rPr>
          <w:rFonts w:ascii="標楷體" w:eastAsia="標楷體" w:hAnsi="標楷體" w:hint="eastAsia"/>
          <w:szCs w:val="24"/>
        </w:rPr>
        <w:t>為</w:t>
      </w:r>
      <w:r w:rsidR="00C026AB" w:rsidRPr="00DE0A19">
        <w:rPr>
          <w:rFonts w:ascii="標楷體" w:eastAsia="標楷體" w:hAnsi="標楷體" w:hint="eastAsia"/>
          <w:szCs w:val="24"/>
        </w:rPr>
        <w:t>(1)</w:t>
      </w:r>
      <w:r w:rsidR="00B342B6" w:rsidRPr="00DE0A19">
        <w:rPr>
          <w:rFonts w:ascii="標楷體" w:eastAsia="標楷體" w:hAnsi="標楷體" w:hint="eastAsia"/>
          <w:szCs w:val="24"/>
        </w:rPr>
        <w:t>蔬果農藥</w:t>
      </w:r>
    </w:p>
    <w:p w:rsidR="00EF5900" w:rsidRPr="00236D4E" w:rsidRDefault="00B342B6" w:rsidP="00C10BF8">
      <w:pPr>
        <w:spacing w:line="460" w:lineRule="exact"/>
        <w:ind w:leftChars="200" w:left="480"/>
        <w:jc w:val="both"/>
        <w:rPr>
          <w:rFonts w:ascii="標楷體" w:eastAsia="標楷體" w:hAnsi="標楷體"/>
          <w:sz w:val="22"/>
        </w:rPr>
      </w:pPr>
      <w:r w:rsidRPr="00DE0A19">
        <w:rPr>
          <w:rFonts w:ascii="標楷體" w:eastAsia="標楷體" w:hAnsi="標楷體" w:hint="eastAsia"/>
          <w:szCs w:val="24"/>
        </w:rPr>
        <w:t>殘留不符規定樣品經分析為油菜、進口蘿蔔、白蘿蔔、青江菜、敏豆、</w:t>
      </w:r>
      <w:proofErr w:type="spellStart"/>
      <w:r w:rsidRPr="00DE0A19">
        <w:rPr>
          <w:rFonts w:ascii="標楷體" w:eastAsia="標楷體" w:hAnsi="標楷體" w:hint="eastAsia"/>
          <w:szCs w:val="24"/>
        </w:rPr>
        <w:t>Frenature</w:t>
      </w:r>
      <w:proofErr w:type="spellEnd"/>
      <w:r w:rsidRPr="00DE0A19">
        <w:rPr>
          <w:rFonts w:ascii="標楷體" w:eastAsia="標楷體" w:hAnsi="標楷體" w:hint="eastAsia"/>
          <w:szCs w:val="24"/>
        </w:rPr>
        <w:t>富</w:t>
      </w:r>
      <w:proofErr w:type="gramStart"/>
      <w:r w:rsidRPr="00DE0A19">
        <w:rPr>
          <w:rFonts w:ascii="標楷體" w:eastAsia="標楷體" w:hAnsi="標楷體" w:hint="eastAsia"/>
          <w:szCs w:val="24"/>
        </w:rPr>
        <w:t>紐</w:t>
      </w:r>
      <w:proofErr w:type="gramEnd"/>
      <w:r w:rsidRPr="00DE0A19">
        <w:rPr>
          <w:rFonts w:ascii="標楷體" w:eastAsia="標楷體" w:hAnsi="標楷體" w:hint="eastAsia"/>
          <w:szCs w:val="24"/>
        </w:rPr>
        <w:t>翠加拿大A級冷凍藍</w:t>
      </w:r>
      <w:proofErr w:type="gramStart"/>
      <w:r w:rsidRPr="00DE0A19">
        <w:rPr>
          <w:rFonts w:ascii="標楷體" w:eastAsia="標楷體" w:hAnsi="標楷體" w:hint="eastAsia"/>
          <w:szCs w:val="24"/>
        </w:rPr>
        <w:t>莓</w:t>
      </w:r>
      <w:proofErr w:type="gramEnd"/>
      <w:r w:rsidR="00C026AB" w:rsidRPr="00DE0A19">
        <w:rPr>
          <w:rFonts w:ascii="標楷體" w:eastAsia="標楷體" w:hAnsi="標楷體" w:hint="eastAsia"/>
          <w:szCs w:val="24"/>
        </w:rPr>
        <w:t>、蜜棗、香菜、花椰菜、紅莧菜、九層塔等11件樣品</w:t>
      </w:r>
      <w:r w:rsidR="003E421F" w:rsidRPr="00DE0A19">
        <w:rPr>
          <w:rFonts w:ascii="標楷體" w:eastAsia="標楷體" w:hAnsi="標楷體" w:hint="eastAsia"/>
          <w:szCs w:val="24"/>
        </w:rPr>
        <w:t>檢出農藥殘留不符規定</w:t>
      </w:r>
      <w:r w:rsidR="00C026AB" w:rsidRPr="00DE0A19">
        <w:rPr>
          <w:rFonts w:ascii="標楷體" w:eastAsia="標楷體" w:hAnsi="標楷體" w:hint="eastAsia"/>
          <w:szCs w:val="24"/>
        </w:rPr>
        <w:t>；(2)水產</w:t>
      </w:r>
      <w:r w:rsidR="00F207AE" w:rsidRPr="00DE0A19">
        <w:rPr>
          <w:rFonts w:ascii="標楷體" w:eastAsia="標楷體" w:hAnsi="標楷體" w:hint="eastAsia"/>
          <w:szCs w:val="24"/>
        </w:rPr>
        <w:t>品為9件海膽樣品檢出</w:t>
      </w:r>
      <w:r w:rsidR="00C026AB" w:rsidRPr="00DE0A19">
        <w:rPr>
          <w:rFonts w:ascii="標楷體" w:eastAsia="標楷體" w:hAnsi="標楷體" w:hint="eastAsia"/>
          <w:szCs w:val="24"/>
        </w:rPr>
        <w:t>重金屬</w:t>
      </w:r>
      <w:proofErr w:type="gramStart"/>
      <w:r w:rsidR="00C026AB" w:rsidRPr="00DE0A19">
        <w:rPr>
          <w:rFonts w:ascii="標楷體" w:eastAsia="標楷體" w:hAnsi="標楷體" w:hint="eastAsia"/>
          <w:szCs w:val="24"/>
        </w:rPr>
        <w:t>鎘</w:t>
      </w:r>
      <w:proofErr w:type="gramEnd"/>
      <w:r w:rsidR="00C026AB" w:rsidRPr="00DE0A19">
        <w:rPr>
          <w:rFonts w:ascii="標楷體" w:eastAsia="標楷體" w:hAnsi="標楷體" w:hint="eastAsia"/>
          <w:szCs w:val="24"/>
        </w:rPr>
        <w:t>不符規定</w:t>
      </w:r>
      <w:r w:rsidR="00A13A01" w:rsidRPr="00DE0A19">
        <w:rPr>
          <w:rFonts w:ascii="標楷體" w:eastAsia="標楷體" w:hAnsi="標楷體" w:hint="eastAsia"/>
          <w:szCs w:val="24"/>
        </w:rPr>
        <w:t>；(3)硼酸及其鹽類檢驗不符規定為6件鹼</w:t>
      </w:r>
      <w:proofErr w:type="gramStart"/>
      <w:r w:rsidR="00A13A01" w:rsidRPr="00DE0A19">
        <w:rPr>
          <w:rFonts w:ascii="標楷體" w:eastAsia="標楷體" w:hAnsi="標楷體" w:hint="eastAsia"/>
          <w:szCs w:val="24"/>
        </w:rPr>
        <w:t>粽</w:t>
      </w:r>
      <w:proofErr w:type="gramEnd"/>
      <w:r w:rsidR="00A13A01" w:rsidRPr="00DE0A19">
        <w:rPr>
          <w:rFonts w:ascii="標楷體" w:eastAsia="標楷體" w:hAnsi="標楷體" w:hint="eastAsia"/>
          <w:szCs w:val="24"/>
        </w:rPr>
        <w:t>；(4)冷飲冰品</w:t>
      </w:r>
      <w:r w:rsidR="00242A7E" w:rsidRPr="00DE0A19">
        <w:rPr>
          <w:rFonts w:ascii="標楷體" w:eastAsia="標楷體" w:hAnsi="標楷體" w:hint="eastAsia"/>
          <w:szCs w:val="24"/>
        </w:rPr>
        <w:t>有30件樣品檢出</w:t>
      </w:r>
      <w:r w:rsidR="00A13A01" w:rsidRPr="00DE0A19">
        <w:rPr>
          <w:rFonts w:ascii="標楷體" w:eastAsia="標楷體" w:hAnsi="標楷體" w:hint="eastAsia"/>
          <w:szCs w:val="24"/>
        </w:rPr>
        <w:t>微生物</w:t>
      </w:r>
      <w:r w:rsidR="00242A7E" w:rsidRPr="00DE0A19">
        <w:rPr>
          <w:rFonts w:ascii="標楷體" w:eastAsia="標楷體" w:hAnsi="標楷體" w:hint="eastAsia"/>
          <w:szCs w:val="24"/>
        </w:rPr>
        <w:t>腸桿菌科不符規定；(5)</w:t>
      </w:r>
      <w:r w:rsidR="00F207AE" w:rsidRPr="00DE0A19">
        <w:rPr>
          <w:rFonts w:ascii="標楷體" w:eastAsia="標楷體" w:hAnsi="標楷體" w:hint="eastAsia"/>
          <w:szCs w:val="24"/>
        </w:rPr>
        <w:t>RO</w:t>
      </w:r>
      <w:r w:rsidR="009E76B6" w:rsidRPr="00DE0A19">
        <w:rPr>
          <w:rFonts w:ascii="標楷體" w:eastAsia="標楷體" w:hAnsi="標楷體" w:hint="eastAsia"/>
          <w:szCs w:val="24"/>
        </w:rPr>
        <w:t>水</w:t>
      </w:r>
      <w:r w:rsidR="00F207AE" w:rsidRPr="00DE0A19">
        <w:rPr>
          <w:rFonts w:ascii="標楷體" w:eastAsia="標楷體" w:hAnsi="標楷體" w:hint="eastAsia"/>
          <w:szCs w:val="24"/>
        </w:rPr>
        <w:t>及桶裝水</w:t>
      </w:r>
      <w:r w:rsidR="009E76B6" w:rsidRPr="00DE0A19">
        <w:rPr>
          <w:rFonts w:ascii="標楷體" w:eastAsia="標楷體" w:hAnsi="標楷體" w:hint="eastAsia"/>
          <w:szCs w:val="24"/>
        </w:rPr>
        <w:t>有9件不符合規定，當中有6件檢出微生物綠膿桿菌不符合規定，其中又有1件同時檢出微生物糞便性鏈球菌不符合規定；另有3件檢出微生物大腸桿菌群不符合規定；(6)</w:t>
      </w:r>
      <w:r w:rsidR="00C21537" w:rsidRPr="00DE0A19">
        <w:rPr>
          <w:rFonts w:ascii="標楷體" w:eastAsia="標楷體" w:hAnsi="標楷體" w:hint="eastAsia"/>
          <w:szCs w:val="24"/>
        </w:rPr>
        <w:t>午餐</w:t>
      </w:r>
      <w:proofErr w:type="gramStart"/>
      <w:r w:rsidR="00C21537" w:rsidRPr="00DE0A19">
        <w:rPr>
          <w:rFonts w:ascii="標楷體" w:eastAsia="標楷體" w:hAnsi="標楷體" w:hint="eastAsia"/>
          <w:szCs w:val="24"/>
        </w:rPr>
        <w:t>餐</w:t>
      </w:r>
      <w:proofErr w:type="gramEnd"/>
      <w:r w:rsidR="00C21537" w:rsidRPr="00DE0A19">
        <w:rPr>
          <w:rFonts w:ascii="標楷體" w:eastAsia="標楷體" w:hAnsi="標楷體" w:hint="eastAsia"/>
          <w:szCs w:val="24"/>
        </w:rPr>
        <w:t>盒有1件檢出微生物金黃色葡萄球菌不符合規定。</w:t>
      </w:r>
    </w:p>
    <w:sectPr w:rsidR="00EF5900" w:rsidRPr="00236D4E" w:rsidSect="00255184">
      <w:footerReference w:type="default" r:id="rId7"/>
      <w:pgSz w:w="11906" w:h="16838"/>
      <w:pgMar w:top="1701" w:right="1985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04D" w:rsidRDefault="0024404D" w:rsidP="00D50A34">
      <w:r>
        <w:separator/>
      </w:r>
    </w:p>
  </w:endnote>
  <w:endnote w:type="continuationSeparator" w:id="0">
    <w:p w:rsidR="0024404D" w:rsidRDefault="0024404D" w:rsidP="00D50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1610"/>
      <w:docPartObj>
        <w:docPartGallery w:val="Page Numbers (Bottom of Page)"/>
        <w:docPartUnique/>
      </w:docPartObj>
    </w:sdtPr>
    <w:sdtContent>
      <w:p w:rsidR="00E87342" w:rsidRDefault="00E87342">
        <w:pPr>
          <w:pStyle w:val="a7"/>
          <w:jc w:val="center"/>
        </w:pPr>
        <w:fldSimple w:instr=" PAGE   \* MERGEFORMAT ">
          <w:r w:rsidR="00C10BF8" w:rsidRPr="00C10BF8">
            <w:rPr>
              <w:noProof/>
              <w:lang w:val="zh-TW"/>
            </w:rPr>
            <w:t>2</w:t>
          </w:r>
        </w:fldSimple>
      </w:p>
    </w:sdtContent>
  </w:sdt>
  <w:p w:rsidR="00E87342" w:rsidRDefault="00E8734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04D" w:rsidRDefault="0024404D" w:rsidP="00D50A34">
      <w:r>
        <w:separator/>
      </w:r>
    </w:p>
  </w:footnote>
  <w:footnote w:type="continuationSeparator" w:id="0">
    <w:p w:rsidR="0024404D" w:rsidRDefault="0024404D" w:rsidP="00D50A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5C0"/>
    <w:rsid w:val="000009D7"/>
    <w:rsid w:val="00036210"/>
    <w:rsid w:val="00093AA4"/>
    <w:rsid w:val="000B3850"/>
    <w:rsid w:val="000D24D7"/>
    <w:rsid w:val="000F3D56"/>
    <w:rsid w:val="00137CDF"/>
    <w:rsid w:val="00157A75"/>
    <w:rsid w:val="001B0F97"/>
    <w:rsid w:val="001E5933"/>
    <w:rsid w:val="00236D4E"/>
    <w:rsid w:val="00242A7E"/>
    <w:rsid w:val="0024404D"/>
    <w:rsid w:val="00251CDB"/>
    <w:rsid w:val="00255184"/>
    <w:rsid w:val="002A23B7"/>
    <w:rsid w:val="002B181F"/>
    <w:rsid w:val="002F2321"/>
    <w:rsid w:val="002F444F"/>
    <w:rsid w:val="0037391C"/>
    <w:rsid w:val="003D51CD"/>
    <w:rsid w:val="003E18BC"/>
    <w:rsid w:val="003E421F"/>
    <w:rsid w:val="003E474E"/>
    <w:rsid w:val="003F23CA"/>
    <w:rsid w:val="003F578C"/>
    <w:rsid w:val="00426E2D"/>
    <w:rsid w:val="00437D3F"/>
    <w:rsid w:val="00460001"/>
    <w:rsid w:val="00475C1C"/>
    <w:rsid w:val="004A2E68"/>
    <w:rsid w:val="004B2E18"/>
    <w:rsid w:val="00554C98"/>
    <w:rsid w:val="00591780"/>
    <w:rsid w:val="005B48E2"/>
    <w:rsid w:val="005C6DED"/>
    <w:rsid w:val="006605CA"/>
    <w:rsid w:val="006F5129"/>
    <w:rsid w:val="006F7668"/>
    <w:rsid w:val="00712CF7"/>
    <w:rsid w:val="007169C5"/>
    <w:rsid w:val="00780E46"/>
    <w:rsid w:val="007A07AE"/>
    <w:rsid w:val="0081368C"/>
    <w:rsid w:val="00813FD6"/>
    <w:rsid w:val="008206EF"/>
    <w:rsid w:val="008354F3"/>
    <w:rsid w:val="00841071"/>
    <w:rsid w:val="008509B5"/>
    <w:rsid w:val="00876031"/>
    <w:rsid w:val="008844AB"/>
    <w:rsid w:val="008C1993"/>
    <w:rsid w:val="009870E1"/>
    <w:rsid w:val="00992808"/>
    <w:rsid w:val="009E76B6"/>
    <w:rsid w:val="00A13A01"/>
    <w:rsid w:val="00A338C3"/>
    <w:rsid w:val="00A504D0"/>
    <w:rsid w:val="00A61E6E"/>
    <w:rsid w:val="00AA4053"/>
    <w:rsid w:val="00AD1D38"/>
    <w:rsid w:val="00B338B8"/>
    <w:rsid w:val="00B342B6"/>
    <w:rsid w:val="00B54824"/>
    <w:rsid w:val="00BA4BE9"/>
    <w:rsid w:val="00BB10AD"/>
    <w:rsid w:val="00C026AB"/>
    <w:rsid w:val="00C10BF8"/>
    <w:rsid w:val="00C21537"/>
    <w:rsid w:val="00C547F1"/>
    <w:rsid w:val="00C60278"/>
    <w:rsid w:val="00C670F2"/>
    <w:rsid w:val="00C75B74"/>
    <w:rsid w:val="00C945C0"/>
    <w:rsid w:val="00CB6582"/>
    <w:rsid w:val="00CC7DB3"/>
    <w:rsid w:val="00CE1F79"/>
    <w:rsid w:val="00D05861"/>
    <w:rsid w:val="00D50A34"/>
    <w:rsid w:val="00D530AE"/>
    <w:rsid w:val="00D8637B"/>
    <w:rsid w:val="00D9457F"/>
    <w:rsid w:val="00DE0A19"/>
    <w:rsid w:val="00DF2A27"/>
    <w:rsid w:val="00E822FF"/>
    <w:rsid w:val="00E84E03"/>
    <w:rsid w:val="00E87342"/>
    <w:rsid w:val="00EA1F3A"/>
    <w:rsid w:val="00EB1146"/>
    <w:rsid w:val="00EE1C13"/>
    <w:rsid w:val="00EF5900"/>
    <w:rsid w:val="00F11311"/>
    <w:rsid w:val="00F207AE"/>
    <w:rsid w:val="00F40011"/>
    <w:rsid w:val="00F42CCF"/>
    <w:rsid w:val="00F57550"/>
    <w:rsid w:val="00F96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945C0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C945C0"/>
  </w:style>
  <w:style w:type="paragraph" w:styleId="a5">
    <w:name w:val="header"/>
    <w:basedOn w:val="a"/>
    <w:link w:val="a6"/>
    <w:uiPriority w:val="99"/>
    <w:unhideWhenUsed/>
    <w:rsid w:val="00D50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0A3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0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0A34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D50A3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50A34"/>
  </w:style>
  <w:style w:type="character" w:customStyle="1" w:styleId="ab">
    <w:name w:val="註解文字 字元"/>
    <w:basedOn w:val="a0"/>
    <w:link w:val="aa"/>
    <w:uiPriority w:val="99"/>
    <w:semiHidden/>
    <w:rsid w:val="00D50A34"/>
  </w:style>
  <w:style w:type="paragraph" w:styleId="ac">
    <w:name w:val="annotation subject"/>
    <w:basedOn w:val="aa"/>
    <w:next w:val="aa"/>
    <w:link w:val="ad"/>
    <w:uiPriority w:val="99"/>
    <w:semiHidden/>
    <w:unhideWhenUsed/>
    <w:rsid w:val="00D50A3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50A34"/>
    <w:rPr>
      <w:b/>
      <w:bCs/>
    </w:rPr>
  </w:style>
  <w:style w:type="table" w:styleId="ae">
    <w:name w:val="Table Grid"/>
    <w:basedOn w:val="a1"/>
    <w:uiPriority w:val="59"/>
    <w:rsid w:val="00DF2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554C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54C9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7298;&#39511;&#31185;\104-113&#39135;&#21697;&#27298;&#39511;&#32113;&#35336;&#20998;&#26512;(&#32113;&#35336;&#36890;&#22577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altLang="en-US" sz="1200" b="0">
                <a:latin typeface="標楷體" panose="03000509000000000000" pitchFamily="65" charset="-120"/>
                <a:ea typeface="標楷體" panose="03000509000000000000" pitchFamily="65" charset="-120"/>
              </a:rPr>
              <a:t>圖一 </a:t>
            </a:r>
            <a:r>
              <a:rPr lang="zh-TW" sz="1200" b="0">
                <a:latin typeface="標楷體" panose="03000509000000000000" pitchFamily="65" charset="-120"/>
                <a:ea typeface="標楷體" panose="03000509000000000000" pitchFamily="65" charset="-120"/>
              </a:rPr>
              <a:t>澎湖縣近</a:t>
            </a:r>
            <a:r>
              <a:rPr lang="en-US" altLang="zh-TW" sz="1200" b="0">
                <a:latin typeface="標楷體" panose="03000509000000000000" pitchFamily="65" charset="-120"/>
                <a:ea typeface="標楷體" panose="03000509000000000000" pitchFamily="65" charset="-120"/>
              </a:rPr>
              <a:t>10</a:t>
            </a:r>
            <a:r>
              <a:rPr lang="zh-TW" sz="1200" b="0">
                <a:latin typeface="標楷體" panose="03000509000000000000" pitchFamily="65" charset="-120"/>
                <a:ea typeface="標楷體" panose="03000509000000000000" pitchFamily="65" charset="-120"/>
              </a:rPr>
              <a:t>年食品</a:t>
            </a:r>
            <a:r>
              <a:rPr lang="zh-TW" altLang="en-US" sz="1200" b="0">
                <a:latin typeface="標楷體" panose="03000509000000000000" pitchFamily="65" charset="-120"/>
                <a:ea typeface="標楷體" panose="03000509000000000000" pitchFamily="65" charset="-120"/>
              </a:rPr>
              <a:t>衛生自行</a:t>
            </a:r>
            <a:r>
              <a:rPr lang="zh-TW" sz="1200" b="0">
                <a:latin typeface="標楷體" panose="03000509000000000000" pitchFamily="65" charset="-120"/>
                <a:ea typeface="標楷體" panose="03000509000000000000" pitchFamily="65" charset="-120"/>
              </a:rPr>
              <a:t>檢驗統計分析</a:t>
            </a:r>
            <a:r>
              <a:rPr lang="en-US" altLang="zh-TW" sz="1200" b="0">
                <a:latin typeface="標楷體" panose="03000509000000000000" pitchFamily="65" charset="-120"/>
                <a:ea typeface="標楷體" panose="03000509000000000000" pitchFamily="65" charset="-120"/>
              </a:rPr>
              <a:t>  </a:t>
            </a:r>
            <a:endParaRPr lang="zh-TW" sz="1200" b="0">
              <a:latin typeface="標楷體" panose="03000509000000000000" pitchFamily="65" charset="-120"/>
              <a:ea typeface="標楷體" panose="03000509000000000000" pitchFamily="65" charset="-120"/>
            </a:endParaRPr>
          </a:p>
        </c:rich>
      </c:tx>
      <c:layout>
        <c:manualLayout>
          <c:xMode val="edge"/>
          <c:yMode val="edge"/>
          <c:x val="9.5833333333333368E-2"/>
          <c:y val="2.7777777777777832E-2"/>
        </c:manualLayout>
      </c:layout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食品檢驗統計!$C$4</c:f>
              <c:strCache>
                <c:ptCount val="1"/>
                <c:pt idx="0">
                  <c:v>檢驗總件數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dLbl>
              <c:idx val="1"/>
              <c:layout>
                <c:manualLayout>
                  <c:x val="0"/>
                  <c:y val="2.77777777777778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8FA-410A-9D01-9ECB4DFEF4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食品檢驗統計!$B$5:$B$14</c:f>
              <c:numCache>
                <c:formatCode>General</c:formatCode>
                <c:ptCount val="10"/>
                <c:pt idx="0">
                  <c:v>104</c:v>
                </c:pt>
                <c:pt idx="1">
                  <c:v>105</c:v>
                </c:pt>
                <c:pt idx="2">
                  <c:v>106</c:v>
                </c:pt>
                <c:pt idx="3">
                  <c:v>107</c:v>
                </c:pt>
                <c:pt idx="4">
                  <c:v>108</c:v>
                </c:pt>
                <c:pt idx="5">
                  <c:v>109</c:v>
                </c:pt>
                <c:pt idx="6">
                  <c:v>110</c:v>
                </c:pt>
                <c:pt idx="7">
                  <c:v>111</c:v>
                </c:pt>
                <c:pt idx="8">
                  <c:v>112</c:v>
                </c:pt>
                <c:pt idx="9">
                  <c:v>113</c:v>
                </c:pt>
              </c:numCache>
            </c:numRef>
          </c:cat>
          <c:val>
            <c:numRef>
              <c:f>食品檢驗統計!$C$5:$C$14</c:f>
              <c:numCache>
                <c:formatCode>General</c:formatCode>
                <c:ptCount val="10"/>
                <c:pt idx="0">
                  <c:v>682</c:v>
                </c:pt>
                <c:pt idx="1">
                  <c:v>619</c:v>
                </c:pt>
                <c:pt idx="2">
                  <c:v>672</c:v>
                </c:pt>
                <c:pt idx="3">
                  <c:v>608</c:v>
                </c:pt>
                <c:pt idx="4">
                  <c:v>630</c:v>
                </c:pt>
                <c:pt idx="5">
                  <c:v>603</c:v>
                </c:pt>
                <c:pt idx="6">
                  <c:v>594</c:v>
                </c:pt>
                <c:pt idx="7">
                  <c:v>712</c:v>
                </c:pt>
                <c:pt idx="8">
                  <c:v>611</c:v>
                </c:pt>
                <c:pt idx="9">
                  <c:v>824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8FA-410A-9D01-9ECB4DFEF458}"/>
            </c:ext>
          </c:extLst>
        </c:ser>
        <c:ser>
          <c:idx val="1"/>
          <c:order val="1"/>
          <c:tx>
            <c:strRef>
              <c:f>食品檢驗統計!$D$4</c:f>
              <c:strCache>
                <c:ptCount val="1"/>
                <c:pt idx="0">
                  <c:v>不符規定件數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食品檢驗統計!$B$5:$B$14</c:f>
              <c:numCache>
                <c:formatCode>General</c:formatCode>
                <c:ptCount val="10"/>
                <c:pt idx="0">
                  <c:v>104</c:v>
                </c:pt>
                <c:pt idx="1">
                  <c:v>105</c:v>
                </c:pt>
                <c:pt idx="2">
                  <c:v>106</c:v>
                </c:pt>
                <c:pt idx="3">
                  <c:v>107</c:v>
                </c:pt>
                <c:pt idx="4">
                  <c:v>108</c:v>
                </c:pt>
                <c:pt idx="5">
                  <c:v>109</c:v>
                </c:pt>
                <c:pt idx="6">
                  <c:v>110</c:v>
                </c:pt>
                <c:pt idx="7">
                  <c:v>111</c:v>
                </c:pt>
                <c:pt idx="8">
                  <c:v>112</c:v>
                </c:pt>
                <c:pt idx="9">
                  <c:v>113</c:v>
                </c:pt>
              </c:numCache>
            </c:numRef>
          </c:cat>
          <c:val>
            <c:numRef>
              <c:f>食品檢驗統計!$D$5:$D$14</c:f>
              <c:numCache>
                <c:formatCode>General</c:formatCode>
                <c:ptCount val="10"/>
                <c:pt idx="0">
                  <c:v>49</c:v>
                </c:pt>
                <c:pt idx="1">
                  <c:v>61</c:v>
                </c:pt>
                <c:pt idx="2">
                  <c:v>34</c:v>
                </c:pt>
                <c:pt idx="3">
                  <c:v>39</c:v>
                </c:pt>
                <c:pt idx="4">
                  <c:v>39</c:v>
                </c:pt>
                <c:pt idx="5">
                  <c:v>22</c:v>
                </c:pt>
                <c:pt idx="6">
                  <c:v>24</c:v>
                </c:pt>
                <c:pt idx="7">
                  <c:v>22</c:v>
                </c:pt>
                <c:pt idx="8">
                  <c:v>29</c:v>
                </c:pt>
                <c:pt idx="9">
                  <c:v>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8FA-410A-9D01-9ECB4DFEF458}"/>
            </c:ext>
          </c:extLst>
        </c:ser>
        <c:gapWidth val="219"/>
        <c:overlap val="-27"/>
        <c:axId val="40939904"/>
        <c:axId val="40941440"/>
      </c:barChart>
      <c:lineChart>
        <c:grouping val="standard"/>
        <c:ser>
          <c:idx val="2"/>
          <c:order val="2"/>
          <c:tx>
            <c:strRef>
              <c:f>食品檢驗統計!$E$4</c:f>
              <c:strCache>
                <c:ptCount val="1"/>
                <c:pt idx="0">
                  <c:v>不符規定比率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1.9444444444444483E-2"/>
                  <c:y val="2.31481481481481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8FA-410A-9D01-9ECB4DFEF458}"/>
                </c:ext>
              </c:extLst>
            </c:dLbl>
            <c:dLbl>
              <c:idx val="1"/>
              <c:layout>
                <c:manualLayout>
                  <c:x val="-0.05"/>
                  <c:y val="-2.77775955088947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8FA-410A-9D01-9ECB4DFEF458}"/>
                </c:ext>
              </c:extLst>
            </c:dLbl>
            <c:dLbl>
              <c:idx val="2"/>
              <c:layout>
                <c:manualLayout>
                  <c:x val="-2.5000000000000001E-2"/>
                  <c:y val="2.54629629629628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8FA-410A-9D01-9ECB4DFEF458}"/>
                </c:ext>
              </c:extLst>
            </c:dLbl>
            <c:dLbl>
              <c:idx val="3"/>
              <c:layout>
                <c:manualLayout>
                  <c:x val="-2.4999781277340379E-2"/>
                  <c:y val="3.24077719451734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8FA-410A-9D01-9ECB4DFEF458}"/>
                </c:ext>
              </c:extLst>
            </c:dLbl>
            <c:dLbl>
              <c:idx val="4"/>
              <c:layout>
                <c:manualLayout>
                  <c:x val="-1.9444444444444445E-2"/>
                  <c:y val="-2.77775955088947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TW"/>
                </a:p>
              </c:txPr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6.0972222222222219E-2"/>
                      <c:h val="8.326407115777192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08FA-410A-9D01-9ECB4DFEF458}"/>
                </c:ext>
              </c:extLst>
            </c:dLbl>
            <c:dLbl>
              <c:idx val="5"/>
              <c:layout>
                <c:manualLayout>
                  <c:x val="-1.6666666666666781E-2"/>
                  <c:y val="3.703703703703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8FA-410A-9D01-9ECB4DFEF458}"/>
                </c:ext>
              </c:extLst>
            </c:dLbl>
            <c:dLbl>
              <c:idx val="6"/>
              <c:layout>
                <c:manualLayout>
                  <c:x val="-2.5000000000000001E-2"/>
                  <c:y val="-2.31481481481481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8FA-410A-9D01-9ECB4DFEF458}"/>
                </c:ext>
              </c:extLst>
            </c:dLbl>
            <c:dLbl>
              <c:idx val="7"/>
              <c:layout>
                <c:manualLayout>
                  <c:x val="-1.9444444444444545E-2"/>
                  <c:y val="2.77777777777778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8FA-410A-9D01-9ECB4DFEF458}"/>
                </c:ext>
              </c:extLst>
            </c:dLbl>
            <c:dLbl>
              <c:idx val="8"/>
              <c:layout>
                <c:manualLayout>
                  <c:x val="-1.6666666666666781E-2"/>
                  <c:y val="2.77777777777778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8FA-410A-9D01-9ECB4DFEF458}"/>
                </c:ext>
              </c:extLst>
            </c:dLbl>
            <c:dLbl>
              <c:idx val="9"/>
              <c:layout>
                <c:manualLayout>
                  <c:x val="-1.9444444444444445E-2"/>
                  <c:y val="-2.31481481481481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8FA-410A-9D01-9ECB4DFEF4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食品檢驗統計!$B$5:$B$14</c:f>
              <c:numCache>
                <c:formatCode>General</c:formatCode>
                <c:ptCount val="10"/>
                <c:pt idx="0">
                  <c:v>104</c:v>
                </c:pt>
                <c:pt idx="1">
                  <c:v>105</c:v>
                </c:pt>
                <c:pt idx="2">
                  <c:v>106</c:v>
                </c:pt>
                <c:pt idx="3">
                  <c:v>107</c:v>
                </c:pt>
                <c:pt idx="4">
                  <c:v>108</c:v>
                </c:pt>
                <c:pt idx="5">
                  <c:v>109</c:v>
                </c:pt>
                <c:pt idx="6">
                  <c:v>110</c:v>
                </c:pt>
                <c:pt idx="7">
                  <c:v>111</c:v>
                </c:pt>
                <c:pt idx="8">
                  <c:v>112</c:v>
                </c:pt>
                <c:pt idx="9">
                  <c:v>113</c:v>
                </c:pt>
              </c:numCache>
            </c:numRef>
          </c:cat>
          <c:val>
            <c:numRef>
              <c:f>食品檢驗統計!$E$5:$E$14</c:f>
              <c:numCache>
                <c:formatCode>0.00_);[Red]\(0.00\)</c:formatCode>
                <c:ptCount val="10"/>
                <c:pt idx="0">
                  <c:v>7.18</c:v>
                </c:pt>
                <c:pt idx="1">
                  <c:v>9.8500000000000068</c:v>
                </c:pt>
                <c:pt idx="2">
                  <c:v>5.0599999999999996</c:v>
                </c:pt>
                <c:pt idx="3">
                  <c:v>6.41</c:v>
                </c:pt>
                <c:pt idx="4">
                  <c:v>6.1899999999999995</c:v>
                </c:pt>
                <c:pt idx="5">
                  <c:v>3.65</c:v>
                </c:pt>
                <c:pt idx="6">
                  <c:v>4.04</c:v>
                </c:pt>
                <c:pt idx="7">
                  <c:v>3.09</c:v>
                </c:pt>
                <c:pt idx="8">
                  <c:v>4.75</c:v>
                </c:pt>
                <c:pt idx="9" formatCode="0.00_ ">
                  <c:v>8.01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8FA-410A-9D01-9ECB4DFEF458}"/>
            </c:ext>
          </c:extLst>
        </c:ser>
        <c:marker val="1"/>
        <c:axId val="40944768"/>
        <c:axId val="40942976"/>
      </c:lineChart>
      <c:catAx>
        <c:axId val="409399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0941440"/>
        <c:crosses val="autoZero"/>
        <c:auto val="1"/>
        <c:lblAlgn val="ctr"/>
        <c:lblOffset val="100"/>
      </c:catAx>
      <c:valAx>
        <c:axId val="409414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0939904"/>
        <c:crosses val="autoZero"/>
        <c:crossBetween val="between"/>
      </c:valAx>
      <c:valAx>
        <c:axId val="40942976"/>
        <c:scaling>
          <c:orientation val="minMax"/>
        </c:scaling>
        <c:axPos val="r"/>
        <c:numFmt formatCode="0.00_);[Red]\(0.00\)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0944768"/>
        <c:crosses val="max"/>
        <c:crossBetween val="between"/>
      </c:valAx>
      <c:catAx>
        <c:axId val="40944768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40942976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1587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zh-TW"/>
    </a:p>
  </c:txPr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蔡文堂</dc:creator>
  <cp:lastModifiedBy>fp18050</cp:lastModifiedBy>
  <cp:revision>5</cp:revision>
  <cp:lastPrinted>2025-07-27T03:49:00Z</cp:lastPrinted>
  <dcterms:created xsi:type="dcterms:W3CDTF">2025-07-27T03:09:00Z</dcterms:created>
  <dcterms:modified xsi:type="dcterms:W3CDTF">2025-07-27T03:53:00Z</dcterms:modified>
</cp:coreProperties>
</file>